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BBD" w:rsidRDefault="00762BBD" w:rsidP="00F14A42">
      <w:pPr>
        <w:tabs>
          <w:tab w:val="clear" w:pos="360"/>
          <w:tab w:val="clear" w:pos="720"/>
          <w:tab w:val="clear" w:pos="1080"/>
          <w:tab w:val="clear" w:pos="1440"/>
          <w:tab w:val="clear" w:pos="10080"/>
        </w:tabs>
        <w:spacing w:before="60" w:after="0"/>
        <w:jc w:val="center"/>
        <w:rPr>
          <w:rFonts w:eastAsia="Times New Roman" w:cs="Times New Roman"/>
          <w:b/>
          <w:bCs/>
          <w:color w:val="auto"/>
        </w:rPr>
      </w:pPr>
      <w:bookmarkStart w:id="0" w:name="Top"/>
      <w:r w:rsidRPr="00762BBD">
        <w:rPr>
          <w:rFonts w:eastAsia="Times New Roman" w:cs="Times New Roman"/>
          <w:b/>
          <w:bCs/>
          <w:color w:val="auto"/>
        </w:rPr>
        <w:t>Contents</w:t>
      </w:r>
      <w:bookmarkEnd w:id="0"/>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 xml:space="preserve">Source: 74 FR 19309, Apr. 28, 2009, unless otherwise noted. </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7" w:anchor="_top" w:history="1">
        <w:r w:rsidR="006D2E70" w:rsidRPr="006D2E70">
          <w:rPr>
            <w:rStyle w:val="Hyperlink"/>
            <w:rFonts w:eastAsia="Times New Roman" w:cs="Times New Roman"/>
            <w:noProof/>
          </w:rPr>
          <w:drawing>
            <wp:inline distT="0" distB="0" distL="0" distR="0">
              <wp:extent cx="152400" cy="152400"/>
              <wp:effectExtent l="0" t="0" r="0" b="0"/>
              <wp:docPr id="44" name="Picture 4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1" w:name="se40.7.60_1670"/>
      <w:bookmarkEnd w:id="1"/>
      <w:r w:rsidRPr="006D2E70">
        <w:rPr>
          <w:rFonts w:eastAsia="Times New Roman" w:cs="Times New Roman"/>
          <w:b/>
          <w:bCs/>
          <w:color w:val="auto"/>
        </w:rPr>
        <w:t>§60.670 Applicability and designation of affected facility.</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(a)(1) Except as provided in paragraphs (a)(2), (b), (c), and (d) of this section, the provisions of this subpart are applicable to the following affected facilities in fixed or portable nonmetallic mineral processing plants: each crusher, gr</w:t>
      </w:r>
      <w:bookmarkStart w:id="2" w:name="_GoBack"/>
      <w:r w:rsidRPr="006D2E70">
        <w:rPr>
          <w:rFonts w:eastAsia="Times New Roman" w:cs="Times New Roman"/>
          <w:color w:val="auto"/>
        </w:rPr>
        <w:t>i</w:t>
      </w:r>
      <w:bookmarkEnd w:id="2"/>
      <w:r w:rsidRPr="006D2E70">
        <w:rPr>
          <w:rFonts w:eastAsia="Times New Roman" w:cs="Times New Roman"/>
          <w:color w:val="auto"/>
        </w:rPr>
        <w:t>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The provisions of this subpart do not apply to the following operations: All facilities located in underground mines; plants without crushers or grinding mills above ground; and wet material processing operations (as defined in §60.671).</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(b) An affected facility that is subject to the provisions of subparts F or I of this part or that follows in the plant process any facility subject to the provisions of subparts F or I of this part is not subject to the provisions of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(c) Facilities at the following plants are not subject to the provisions of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Fixed sand and gravel plants and crushed stone plants with capacities, as defined in §60.671, of 23 megagrams per hour (25 tons per hour) or less;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Portable sand and gravel plants and crushed stone plants with capacities, as defined in §60.671, of 136 megagrams per hour (150 tons per hour) or less;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Common clay plants and pumice plants with capacities, as defined in §60.671, of 9 megagrams per hour (10 tons per hour) or less.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(d)(1) 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An owner or operator complying with paragraph (d)(1) of this section shall submit the information required in §60.676(a).</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An owner or operator replacing all existing facilities in a production line with new facilities does not qualify for the exemption described in paragraph (d)(1) of this section and must comply with the provisions of §§60.672, 60.674 and 60.675.</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 An affected facility under paragraph (a) of this section that commences construction, modification, or reconstruction after August 31, 1983, is subject to the requirements of this 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(f) Table 1 of this subpart specifies the provisions of subpart A of this part 60 that do not apply to owners and operators of affected facilities subject to this subpart or that apply with certain exceptions.</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0" w:anchor="_top" w:history="1">
        <w:r w:rsidR="006D2E70" w:rsidRPr="006D2E70">
          <w:rPr>
            <w:rStyle w:val="Hyperlink"/>
            <w:rFonts w:eastAsia="Times New Roman" w:cs="Times New Roman"/>
            <w:noProof/>
          </w:rPr>
          <w:drawing>
            <wp:inline distT="0" distB="0" distL="0" distR="0">
              <wp:extent cx="152400" cy="152400"/>
              <wp:effectExtent l="0" t="0" r="0" b="0"/>
              <wp:docPr id="43" name="Picture 4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3" w:name="se40.7.60_1671"/>
      <w:bookmarkEnd w:id="3"/>
      <w:r w:rsidRPr="006D2E70">
        <w:rPr>
          <w:rFonts w:eastAsia="Times New Roman" w:cs="Times New Roman"/>
          <w:b/>
          <w:bCs/>
          <w:color w:val="auto"/>
        </w:rPr>
        <w:t>§60.671 Definitions.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All terms used in this subpart, but not specifically defined in this section, shall have the meaning given them in the Act and in subpart A of this 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Bagging operation</w:t>
      </w:r>
      <w:r w:rsidRPr="006D2E70">
        <w:rPr>
          <w:rFonts w:eastAsia="Times New Roman" w:cs="Times New Roman"/>
          <w:color w:val="auto"/>
        </w:rPr>
        <w:t xml:space="preserve"> means the mechanical process by which bags are filled with nonmetallic minerals.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Belt conveyor</w:t>
      </w:r>
      <w:r w:rsidRPr="006D2E70">
        <w:rPr>
          <w:rFonts w:eastAsia="Times New Roman" w:cs="Times New Roman"/>
          <w:color w:val="auto"/>
        </w:rPr>
        <w:t xml:space="preserve"> means a conveying device that transports material from one location to another by means of an endless belt that is carried on a series of idlers and routed around a pulley at each end.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Bucket elevator</w:t>
      </w:r>
      <w:r w:rsidRPr="006D2E70">
        <w:rPr>
          <w:rFonts w:eastAsia="Times New Roman" w:cs="Times New Roman"/>
          <w:color w:val="auto"/>
        </w:rPr>
        <w:t xml:space="preserve"> means a conveying device of nonmetallic minerals consisting of a head and foot assembly which supports and drives an endless single or double strand chain or belt to which buckets are attached.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Building</w:t>
      </w:r>
      <w:r w:rsidRPr="006D2E70">
        <w:rPr>
          <w:rFonts w:eastAsia="Times New Roman" w:cs="Times New Roman"/>
          <w:color w:val="auto"/>
        </w:rPr>
        <w:t xml:space="preserve"> means any frame structure with a roof.</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Capacity</w:t>
      </w:r>
      <w:r w:rsidRPr="006D2E70">
        <w:rPr>
          <w:rFonts w:eastAsia="Times New Roman" w:cs="Times New Roman"/>
          <w:color w:val="auto"/>
        </w:rPr>
        <w:t xml:space="preserve"> means the cumulative rated capacity of all initial crushers that are part of the plant.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lastRenderedPageBreak/>
        <w:t>Capture system</w:t>
      </w:r>
      <w:r w:rsidRPr="006D2E70">
        <w:rPr>
          <w:rFonts w:eastAsia="Times New Roman" w:cs="Times New Roman"/>
          <w:color w:val="auto"/>
        </w:rPr>
        <w:t xml:space="preserve"> means the equipment (including enclosures, hoods, ducts, fans, dampers, etc.) used to capture and transport particulate matter generated by one or more affected facilities to a control device.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Control device</w:t>
      </w:r>
      <w:r w:rsidRPr="006D2E70">
        <w:rPr>
          <w:rFonts w:eastAsia="Times New Roman" w:cs="Times New Roman"/>
          <w:color w:val="auto"/>
        </w:rPr>
        <w:t xml:space="preserve"> means the air pollution control equipment used to reduce particulate matter emissions released to the atmosphere from one or more affected facilities at a nonmetallic mineral processing plant.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Conveying system</w:t>
      </w:r>
      <w:r w:rsidRPr="006D2E70">
        <w:rPr>
          <w:rFonts w:eastAsia="Times New Roman" w:cs="Times New Roman"/>
          <w:color w:val="auto"/>
        </w:rPr>
        <w:t xml:space="preserve"> means a device for transporting materials from one piece of equipment or location to another location within a plant. Conveying systems include but are not limited to the following: Feeders, belt conveyors, bucket elevators and pneumatic systems.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Crush</w:t>
      </w:r>
      <w:r w:rsidRPr="006D2E70">
        <w:rPr>
          <w:rFonts w:eastAsia="Times New Roman" w:cs="Times New Roman"/>
          <w:color w:val="auto"/>
        </w:rPr>
        <w:t xml:space="preserve"> or </w:t>
      </w:r>
      <w:r w:rsidRPr="006D2E70">
        <w:rPr>
          <w:rFonts w:eastAsia="Times New Roman" w:cs="Times New Roman"/>
          <w:i/>
          <w:iCs/>
          <w:color w:val="auto"/>
        </w:rPr>
        <w:t>Crushing</w:t>
      </w:r>
      <w:r w:rsidRPr="006D2E70">
        <w:rPr>
          <w:rFonts w:eastAsia="Times New Roman" w:cs="Times New Roman"/>
          <w:color w:val="auto"/>
        </w:rPr>
        <w:t xml:space="preserve"> means to reduce the size of nonmetallic mineral material by means of physical impaction of the crusher or grinding mill upon the material.</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Crusher</w:t>
      </w:r>
      <w:r w:rsidRPr="006D2E70">
        <w:rPr>
          <w:rFonts w:eastAsia="Times New Roman" w:cs="Times New Roman"/>
          <w:color w:val="auto"/>
        </w:rPr>
        <w:t xml:space="preserve"> means a machine used to crush any nonmetallic minerals, and includes, but is not limited to, the following types: Jaw, gyratory, cone, roll, rod mill, hammermill, and impactor.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Enclosed truck or railcar loading station</w:t>
      </w:r>
      <w:r w:rsidRPr="006D2E70">
        <w:rPr>
          <w:rFonts w:eastAsia="Times New Roman" w:cs="Times New Roman"/>
          <w:color w:val="auto"/>
        </w:rPr>
        <w:t xml:space="preserve"> means that portion of a nonmetallic mineral processing plant where nonmetallic minerals are loaded by an enclosed conveying system into enclosed trucks or railcars.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Fixed plant</w:t>
      </w:r>
      <w:r w:rsidRPr="006D2E70">
        <w:rPr>
          <w:rFonts w:eastAsia="Times New Roman" w:cs="Times New Roman"/>
          <w:color w:val="auto"/>
        </w:rPr>
        <w:t xml:space="preserve"> means any nonmetallic mineral processing plant at which the processing equipment specified in §60.670(a) is attached by a cable, chain, turnbuckle, bolt or other means (except electrical connections) to any anchor, slab, or structure including bedrock.</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Fugitive emission</w:t>
      </w:r>
      <w:r w:rsidRPr="006D2E70">
        <w:rPr>
          <w:rFonts w:eastAsia="Times New Roman" w:cs="Times New Roman"/>
          <w:color w:val="auto"/>
        </w:rPr>
        <w:t xml:space="preserve"> means particulate matter that is not collected by a capture system and is released to the atmosphere at the point of generation.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Grinding mill</w:t>
      </w:r>
      <w:r w:rsidRPr="006D2E70">
        <w:rPr>
          <w:rFonts w:eastAsia="Times New Roman" w:cs="Times New Roman"/>
          <w:color w:val="auto"/>
        </w:rPr>
        <w:t xml:space="preserve"> 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Initial crusher</w:t>
      </w:r>
      <w:r w:rsidRPr="006D2E70">
        <w:rPr>
          <w:rFonts w:eastAsia="Times New Roman" w:cs="Times New Roman"/>
          <w:color w:val="auto"/>
        </w:rPr>
        <w:t xml:space="preserve"> means any crusher into which nonmetallic minerals can be fed without prior crushing in the plant.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Nonmetallic mineral</w:t>
      </w:r>
      <w:r w:rsidRPr="006D2E70">
        <w:rPr>
          <w:rFonts w:eastAsia="Times New Roman" w:cs="Times New Roman"/>
          <w:color w:val="auto"/>
        </w:rPr>
        <w:t xml:space="preserve"> means any of the following minerals or any mixture of which the majority is any of the following minerals: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Crushed and Broken Stone, including Limestone, Dolomite, Granite, Traprock, Sandstone, Quartz, Quartzite, Marl, Marble, Slate, Shale, Oil Shale, and Shell.</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Sand and Gravel.</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Clay including Kaolin, Fireclay, Bentonite, Fuller's Earth, Ball Clay, and Common Clay.</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(4) Rock Salt.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(5) Gypsum (natural or synthetic).</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 Sodium Compounds, including Sodium Carbonate, Sodium Chloride, and Sodium Sulfate.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(7) Pumice.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(8) Gilsonite.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(9) Talc and Pyrophyllite.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(10) Boron, including Borax, Kernite, and Colemanite.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(11) Barite.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(12) Fluorospar.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(13) Feldspar.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(14) Diatomite.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(15) Perlite.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(16) Vermiculite.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(17) Mica.</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(18) Kyanite, including Andalusite, Sillimanite, Topaz, and Dumortierite.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Nonmetallic mineral processing plant</w:t>
      </w:r>
      <w:r w:rsidRPr="006D2E70">
        <w:rPr>
          <w:rFonts w:eastAsia="Times New Roman" w:cs="Times New Roman"/>
          <w:color w:val="auto"/>
        </w:rPr>
        <w:t xml:space="preserve"> 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lastRenderedPageBreak/>
        <w:t>Portable plant</w:t>
      </w:r>
      <w:r w:rsidRPr="006D2E70">
        <w:rPr>
          <w:rFonts w:eastAsia="Times New Roman" w:cs="Times New Roman"/>
          <w:color w:val="auto"/>
        </w:rPr>
        <w:t xml:space="preserve"> 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Production line</w:t>
      </w:r>
      <w:r w:rsidRPr="006D2E70">
        <w:rPr>
          <w:rFonts w:eastAsia="Times New Roman" w:cs="Times New Roman"/>
          <w:color w:val="auto"/>
        </w:rPr>
        <w:t xml:space="preserve"> 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Saturated material</w:t>
      </w:r>
      <w:r w:rsidRPr="006D2E70">
        <w:rPr>
          <w:rFonts w:eastAsia="Times New Roman" w:cs="Times New Roman"/>
          <w:color w:val="auto"/>
        </w:rPr>
        <w:t xml:space="preserve"> 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Screening operation</w:t>
      </w:r>
      <w:r w:rsidRPr="006D2E70">
        <w:rPr>
          <w:rFonts w:eastAsia="Times New Roman" w:cs="Times New Roman"/>
          <w:color w:val="auto"/>
        </w:rPr>
        <w:t xml:space="preserve"> 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Seasonal shut down</w:t>
      </w:r>
      <w:r w:rsidRPr="006D2E70">
        <w:rPr>
          <w:rFonts w:eastAsia="Times New Roman" w:cs="Times New Roman"/>
          <w:color w:val="auto"/>
        </w:rPr>
        <w:t xml:space="preserve"> means shut down of an affected facility for a period of at least 45 consecutive days due to weather or seasonal market conditions.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Size</w:t>
      </w:r>
      <w:r w:rsidRPr="006D2E70">
        <w:rPr>
          <w:rFonts w:eastAsia="Times New Roman" w:cs="Times New Roman"/>
          <w:color w:val="auto"/>
        </w:rPr>
        <w:t xml:space="preserve"> 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Stack emission</w:t>
      </w:r>
      <w:r w:rsidRPr="006D2E70">
        <w:rPr>
          <w:rFonts w:eastAsia="Times New Roman" w:cs="Times New Roman"/>
          <w:color w:val="auto"/>
        </w:rPr>
        <w:t xml:space="preserve"> means the particulate matter that is released to the atmosphere from a capture system.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Storage bin</w:t>
      </w:r>
      <w:r w:rsidRPr="006D2E70">
        <w:rPr>
          <w:rFonts w:eastAsia="Times New Roman" w:cs="Times New Roman"/>
          <w:color w:val="auto"/>
        </w:rPr>
        <w:t xml:space="preserve"> means a facility for storage (including surge bins) of nonmetallic minerals prior to further processing or loading.</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Transfer point</w:t>
      </w:r>
      <w:r w:rsidRPr="006D2E70">
        <w:rPr>
          <w:rFonts w:eastAsia="Times New Roman" w:cs="Times New Roman"/>
          <w:color w:val="auto"/>
        </w:rPr>
        <w:t xml:space="preserve"> means a point in a conveying operation where the nonmetallic mineral is transferred to or from a belt conveyor except where the nonmetallic mineral is being transferred to a stockpile.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Truck dumping</w:t>
      </w:r>
      <w:r w:rsidRPr="006D2E70">
        <w:rPr>
          <w:rFonts w:eastAsia="Times New Roman" w:cs="Times New Roman"/>
          <w:color w:val="auto"/>
        </w:rPr>
        <w:t xml:space="preserve"> means the unloading of nonmetallic minerals from movable vehicles designed to transport nonmetallic minerals from one location to another. Movable vehicles include but are not limited to: Trucks, front end loaders, skip hoists, and railcars.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Vent</w:t>
      </w:r>
      <w:r w:rsidRPr="006D2E70">
        <w:rPr>
          <w:rFonts w:eastAsia="Times New Roman" w:cs="Times New Roman"/>
          <w:color w:val="auto"/>
        </w:rPr>
        <w:t xml:space="preserve"> means an opening through which there is mechanically induced air flow for the purpose of exhausting from a building air carrying particulate matter emissions from one or more affected facilities.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Wet material processing operation(s)</w:t>
      </w:r>
      <w:r w:rsidRPr="006D2E70">
        <w:rPr>
          <w:rFonts w:eastAsia="Times New Roman" w:cs="Times New Roman"/>
          <w:color w:val="auto"/>
        </w:rPr>
        <w:t xml:space="preserve"> means any of the following:</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Wet mining operation</w:t>
      </w:r>
      <w:r w:rsidRPr="006D2E70">
        <w:rPr>
          <w:rFonts w:eastAsia="Times New Roman" w:cs="Times New Roman"/>
          <w:color w:val="auto"/>
        </w:rPr>
        <w:t xml:space="preserve"> means a mining or dredging operation designed and operated to extract any nonmetallic mineral regulated under this subpart from deposits existing at or below the water table, where the nonmetallic mineral is saturated with water.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i/>
          <w:iCs/>
          <w:color w:val="auto"/>
        </w:rPr>
        <w:t>Wet screening operation</w:t>
      </w:r>
      <w:r w:rsidRPr="006D2E70">
        <w:rPr>
          <w:rFonts w:eastAsia="Times New Roman" w:cs="Times New Roman"/>
          <w:color w:val="auto"/>
        </w:rPr>
        <w:t xml:space="preserve"> 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1" w:anchor="_top" w:history="1">
        <w:r w:rsidR="006D2E70" w:rsidRPr="006D2E70">
          <w:rPr>
            <w:rStyle w:val="Hyperlink"/>
            <w:rFonts w:eastAsia="Times New Roman" w:cs="Times New Roman"/>
            <w:noProof/>
          </w:rPr>
          <w:drawing>
            <wp:inline distT="0" distB="0" distL="0" distR="0">
              <wp:extent cx="152400" cy="152400"/>
              <wp:effectExtent l="0" t="0" r="0" b="0"/>
              <wp:docPr id="42" name="Picture 42"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4" w:name="se40.7.60_1672"/>
      <w:bookmarkEnd w:id="4"/>
      <w:r w:rsidRPr="006D2E70">
        <w:rPr>
          <w:rFonts w:eastAsia="Times New Roman" w:cs="Times New Roman"/>
          <w:b/>
          <w:bCs/>
          <w:color w:val="auto"/>
        </w:rPr>
        <w:t>§60.672 Standard for particulate matter (PM).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 xml:space="preserve">(a) 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w:t>
      </w:r>
      <w:r w:rsidRPr="006D2E70">
        <w:rPr>
          <w:rFonts w:eastAsia="Times New Roman" w:cs="Times New Roman"/>
          <w:color w:val="auto"/>
        </w:rPr>
        <w:lastRenderedPageBreak/>
        <w:t>apply for affected facilities with capture systems used to capture and transport particulate matter to a control device.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(b) 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(c) [Reserved]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(d) Truck dumping of nonmetallic minerals into any screening operation, feed hopper, or crusher is exempt from the requirements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 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Fugitive emissions from the building openings (except for vents as defined in §60.671) must not exceed 7 percent opacity;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Vents (as defined in §60.671) in the building must meet the applicable stack emission limits and compliance requirements in Table 2 of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(f) 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2" w:anchor="_top" w:history="1">
        <w:r w:rsidR="006D2E70" w:rsidRPr="006D2E70">
          <w:rPr>
            <w:rStyle w:val="Hyperlink"/>
            <w:rFonts w:eastAsia="Times New Roman" w:cs="Times New Roman"/>
            <w:noProof/>
          </w:rPr>
          <w:drawing>
            <wp:inline distT="0" distB="0" distL="0" distR="0">
              <wp:extent cx="152400" cy="152400"/>
              <wp:effectExtent l="0" t="0" r="0" b="0"/>
              <wp:docPr id="41" name="Picture 41"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5" w:name="se40.7.60_1673"/>
      <w:bookmarkEnd w:id="5"/>
      <w:r w:rsidRPr="006D2E70">
        <w:rPr>
          <w:rFonts w:eastAsia="Times New Roman" w:cs="Times New Roman"/>
          <w:b/>
          <w:bCs/>
          <w:color w:val="auto"/>
        </w:rPr>
        <w:t>§60.673 Reconstruction.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(b) 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3" w:anchor="_top" w:history="1">
        <w:r w:rsidR="006D2E70" w:rsidRPr="006D2E70">
          <w:rPr>
            <w:rStyle w:val="Hyperlink"/>
            <w:rFonts w:eastAsia="Times New Roman" w:cs="Times New Roman"/>
            <w:noProof/>
          </w:rPr>
          <w:drawing>
            <wp:inline distT="0" distB="0" distL="0" distR="0">
              <wp:extent cx="152400" cy="152400"/>
              <wp:effectExtent l="0" t="0" r="0" b="0"/>
              <wp:docPr id="40" name="Picture 40"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6" w:name="se40.7.60_1674"/>
      <w:bookmarkEnd w:id="6"/>
      <w:r w:rsidRPr="006D2E70">
        <w:rPr>
          <w:rFonts w:eastAsia="Times New Roman" w:cs="Times New Roman"/>
          <w:b/>
          <w:bCs/>
          <w:color w:val="auto"/>
        </w:rPr>
        <w:t>§60.674 Monitoring of operations.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 The owner or operator of any affected facility subject to the provisions of this subpart which uses a wet scrubber to control emissions shall install, calibrate, maintain and operate the following monitoring devices: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(b) 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(1) 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owner or operator of the affected facility designates which upstream water spray(s) will be periodically inspected at the time of the initial performance test required under §60.11 of this part and §60.675 of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(c) 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(d) 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Each bag leak detection system must meet the specifications and requirements in paragraphs (d)(1)(i) through (viii)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bag leak detection system must be certified by the manufacturer to be capable of detecting PM emissions at concentrations of 1 milligram per dry standard cubic meter (0.00044 grains per actual cubic foot) or less.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bag leak detection system sensor must provide output of relative PM loadings. The owner or operator shall continuously record the output from the bag leak detection system using electronic or other means (</w:t>
      </w:r>
      <w:r w:rsidRPr="006D2E70">
        <w:rPr>
          <w:rFonts w:eastAsia="Times New Roman" w:cs="Times New Roman"/>
          <w:i/>
          <w:iCs/>
          <w:color w:val="auto"/>
        </w:rPr>
        <w:t>e.g.</w:t>
      </w:r>
      <w:r w:rsidRPr="006D2E70">
        <w:rPr>
          <w:rFonts w:eastAsia="Times New Roman" w:cs="Times New Roman"/>
          <w:color w:val="auto"/>
        </w:rPr>
        <w:t>, using a strip chart recorder or a data logger).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(iii) 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(iv) In the initial adjustment of the bag leak detection system, the owner or operator must establish, at a minimum, the baseline output by adjusting the sensitivity (range) and the averaging period of the device, the alarm set points, and the alarm delay time.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 Following initial adjustment, the owner or operator shall not adjust the averaging period, alarm set point, or alarm delay time without approval from the Administrator or delegated authority except as provided in paragraph (d)(1)(vi)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(vi) 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(vii) The owner or operator must install the bag leak detection sensor downstream of the fabric filter.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(viii) Where multiple detectors are required, the system's instrumentation and alarm may be shared among detectors.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Installation of the bag leak detection system;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Initial and periodic adjustment of the bag leak detection system, including how the alarm set-point will be established;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(iii) Operation of the bag leak detection system, including quality assurance procedures;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(iv) How the bag leak detection system will be maintained, including a routine maintenance schedule and spare parts inventory list;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 How the bag leak detection system output will be recorded and stored;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(vi) 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Inspecting the fabric filter for air leaks, torn or broken bags or filter media, or any other condition that may cause an increase in PM emissions;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Sealing off defective bags or filter media;</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(iii) Replacing defective bags or filter media or otherwise repairing the control device;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(iv) Sealing off a defective fabric filter compartment;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 Cleaning the bag leak detection system probe or otherwise repairing the bag leak detection system; or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(vi) Shutting down the process producing the PM emissions.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 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(i) through (iii) of table 6 to subpart AAAAA of 40 CFR part 63.</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4" w:anchor="_top" w:history="1">
        <w:r w:rsidR="006D2E70" w:rsidRPr="006D2E70">
          <w:rPr>
            <w:rStyle w:val="Hyperlink"/>
            <w:rFonts w:eastAsia="Times New Roman" w:cs="Times New Roman"/>
            <w:noProof/>
          </w:rPr>
          <w:drawing>
            <wp:inline distT="0" distB="0" distL="0" distR="0">
              <wp:extent cx="152400" cy="152400"/>
              <wp:effectExtent l="0" t="0" r="0" b="0"/>
              <wp:docPr id="39" name="Picture 39"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7" w:name="se40.7.60_1675"/>
      <w:bookmarkEnd w:id="7"/>
      <w:r w:rsidRPr="006D2E70">
        <w:rPr>
          <w:rFonts w:eastAsia="Times New Roman" w:cs="Times New Roman"/>
          <w:b/>
          <w:bCs/>
          <w:color w:val="auto"/>
        </w:rPr>
        <w:t>§60.675 Test methods and procedures.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 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(b) The owner or operator shall determine compliance with the PM standards in §60.672(a) as follows: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(2) Method 9 of Appendix A-4 of this part and the procedures in §60.11 shall be used to determine opacity.</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(c)(1) In determining compliance with the particulate matter standards in §60.672(b) or §60.672(e)(1), the owner or operator shall use Method 9 of Appendix A-4 of this part and the procedures in §60.11, with the following additions: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minimum distance between the observer and the emission source shall be 4.57 meters (15 feet).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observer shall, when possible, select a position that minimizes interference from other fugitive emission sources (</w:t>
      </w:r>
      <w:r w:rsidRPr="006D2E70">
        <w:rPr>
          <w:rFonts w:eastAsia="Times New Roman" w:cs="Times New Roman"/>
          <w:i/>
          <w:iCs/>
          <w:color w:val="auto"/>
        </w:rPr>
        <w:t>e.g.,</w:t>
      </w:r>
      <w:r w:rsidRPr="006D2E70">
        <w:rPr>
          <w:rFonts w:eastAsia="Times New Roman" w:cs="Times New Roman"/>
          <w:color w:val="auto"/>
        </w:rPr>
        <w:t xml:space="preserve"> road dust). The required observer position relative to the sun (Method 9 of Appendix A-4 of this part, Section 2.1) must be followed.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(iii)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(2)(i) 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(d) 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 The owner or operator may use the following as alternatives to the reference methods and procedures specified in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Use for the combined emission stream the highest fugitive opacity standard applicable to any of the individual affected facilities contributing to the emissions stream.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Separate the emissions so that the opacity of emissions from each affected facility can be read.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A single visible emission observer may conduct visible emission observations for up to three fugitive, stack, or vent emission points within a 15-second interval if the following conditions are met: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No more than three emission points may be read concurrently.</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All three emission points must be within a 70 degree viewing sector or angle in front of the observer such that the proper sun position can be maintained for all three points.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(iii) If an opacity reading for any one of the three emission points equals or exceeds the applicable standard, then the observer must stop taking readings for the other two points and continue reading just that single point.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(4) In some cases, velocities of exhaust gases from building vents may be too low to measure accurately with the type S pitot tube specified in EPA Method 2 of Appendix A-1 of this part [</w:t>
      </w:r>
      <w:r w:rsidRPr="006D2E70">
        <w:rPr>
          <w:rFonts w:eastAsia="Times New Roman" w:cs="Times New Roman"/>
          <w:i/>
          <w:iCs/>
          <w:color w:val="auto"/>
        </w:rPr>
        <w:t>i.e.,</w:t>
      </w:r>
      <w:r w:rsidRPr="006D2E70">
        <w:rPr>
          <w:rFonts w:eastAsia="Times New Roman" w:cs="Times New Roman"/>
          <w:color w:val="auto"/>
        </w:rPr>
        <w:t xml:space="preserve"> velocity head &lt;1.3 mm H</w:t>
      </w:r>
      <w:r w:rsidRPr="006D2E70">
        <w:rPr>
          <w:rFonts w:eastAsia="Times New Roman" w:cs="Times New Roman"/>
          <w:color w:val="auto"/>
          <w:vertAlign w:val="subscript"/>
        </w:rPr>
        <w:t>2</w:t>
      </w:r>
      <w:r w:rsidRPr="006D2E70">
        <w:rPr>
          <w:rFonts w:eastAsia="Times New Roman" w:cs="Times New Roman"/>
          <w:color w:val="auto"/>
        </w:rPr>
        <w:t>O (0.05 in. H</w:t>
      </w:r>
      <w:r w:rsidRPr="006D2E70">
        <w:rPr>
          <w:rFonts w:eastAsia="Times New Roman" w:cs="Times New Roman"/>
          <w:color w:val="auto"/>
          <w:vertAlign w:val="subscript"/>
        </w:rPr>
        <w:t>2</w:t>
      </w:r>
      <w:r w:rsidRPr="006D2E70">
        <w:rPr>
          <w:rFonts w:eastAsia="Times New Roman" w:cs="Times New Roman"/>
          <w:color w:val="auto"/>
        </w:rPr>
        <w:t>O)] and referred to in EPA Method 5 of Appendix A-3 of this part. For these conditions, the owner or operator may determine the average gas flow rate produced by the power fans (</w:t>
      </w:r>
      <w:r w:rsidRPr="006D2E70">
        <w:rPr>
          <w:rFonts w:eastAsia="Times New Roman" w:cs="Times New Roman"/>
          <w:i/>
          <w:iCs/>
          <w:color w:val="auto"/>
        </w:rPr>
        <w:t>e.g.,</w:t>
      </w:r>
      <w:r w:rsidRPr="006D2E70">
        <w:rPr>
          <w:rFonts w:eastAsia="Times New Roman" w:cs="Times New Roman"/>
          <w:color w:val="auto"/>
        </w:rPr>
        <w:t xml:space="preserve"> 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noProof/>
          <w:color w:val="auto"/>
        </w:rPr>
        <w:drawing>
          <wp:inline distT="0" distB="0" distL="0" distR="0">
            <wp:extent cx="1038225" cy="390525"/>
            <wp:effectExtent l="0" t="0" r="0" b="0"/>
            <wp:docPr id="38" name="Picture 38" descr="eCFR graphic er28ap09.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eCFR graphic er28ap09.00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6" w:history="1">
        <w:r w:rsidR="006D2E70" w:rsidRPr="006D2E70">
          <w:rPr>
            <w:rStyle w:val="Hyperlink"/>
            <w:rFonts w:eastAsia="Times New Roman" w:cs="Times New Roman"/>
          </w:rPr>
          <w:t>View or download PDF</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Where: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V</w:t>
      </w:r>
      <w:r w:rsidRPr="006D2E70">
        <w:rPr>
          <w:rFonts w:eastAsia="Times New Roman" w:cs="Times New Roman"/>
          <w:color w:val="auto"/>
          <w:vertAlign w:val="subscript"/>
        </w:rPr>
        <w:t>e</w:t>
      </w:r>
      <w:r w:rsidRPr="006D2E70">
        <w:rPr>
          <w:rFonts w:eastAsia="Times New Roman" w:cs="Times New Roman"/>
          <w:color w:val="auto"/>
        </w:rPr>
        <w:t xml:space="preserve"> = average building vent velocity (feet per minute);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Q</w:t>
      </w:r>
      <w:r w:rsidRPr="006D2E70">
        <w:rPr>
          <w:rFonts w:eastAsia="Times New Roman" w:cs="Times New Roman"/>
          <w:color w:val="auto"/>
          <w:vertAlign w:val="subscript"/>
        </w:rPr>
        <w:t>f</w:t>
      </w:r>
      <w:r w:rsidRPr="006D2E70">
        <w:rPr>
          <w:rFonts w:eastAsia="Times New Roman" w:cs="Times New Roman"/>
          <w:color w:val="auto"/>
        </w:rPr>
        <w:t xml:space="preserve"> = average fan flow rate (cubic feet per minute);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w:t>
      </w:r>
      <w:r w:rsidRPr="006D2E70">
        <w:rPr>
          <w:rFonts w:eastAsia="Times New Roman" w:cs="Times New Roman"/>
          <w:color w:val="auto"/>
          <w:vertAlign w:val="subscript"/>
        </w:rPr>
        <w:t>e</w:t>
      </w:r>
      <w:r w:rsidRPr="006D2E70">
        <w:rPr>
          <w:rFonts w:eastAsia="Times New Roman" w:cs="Times New Roman"/>
          <w:color w:val="auto"/>
        </w:rPr>
        <w:t xml:space="preserve"> = area of building vent and measurement location (square feet).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(f) To comply with §60.676(d), the owner or operator shall record the measurements as required in §60.676(c) using the monitoring devices in §60.674 (a)(1) and (2) during each particulate matter run and shall determine the averages.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(g) For performance tests involving only Method 9 (40 CFR part 60 Appendix A-4) testing, the owner or operator may reduce the 30-day advance notification of performance test in §60.7(a)(6) and 60.8(d) to a 7-day advance notification.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(h) [Reserved]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7" w:anchor="_top" w:history="1">
        <w:r w:rsidR="006D2E70" w:rsidRPr="006D2E70">
          <w:rPr>
            <w:rStyle w:val="Hyperlink"/>
            <w:rFonts w:eastAsia="Times New Roman" w:cs="Times New Roman"/>
            <w:noProof/>
          </w:rPr>
          <w:drawing>
            <wp:inline distT="0" distB="0" distL="0" distR="0">
              <wp:extent cx="152400" cy="152400"/>
              <wp:effectExtent l="0" t="0" r="0" b="0"/>
              <wp:docPr id="37" name="Picture 37"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8" w:name="se40.7.60_1676"/>
      <w:bookmarkEnd w:id="8"/>
      <w:r w:rsidRPr="006D2E70">
        <w:rPr>
          <w:rFonts w:eastAsia="Times New Roman" w:cs="Times New Roman"/>
          <w:b/>
          <w:bCs/>
          <w:color w:val="auto"/>
        </w:rPr>
        <w:t>§60.676 Reporting and recordkeeping.</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 Each owner or operator seeking to comply with §60.670(d) shall submit to the Administrator the following information about the existing facility being replaced and the replacement piece of equipment.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For a crusher, grinding mill, bucket elevator, bagging operation, or enclosed truck or railcar loading station: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rated capacity in megagrams or tons per hour of the existing facility being replaced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rated capacity in tons per hour of the replacement equipment.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For a screening operation: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total surface area of the top screen of the existing screening operation being replaced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total surface area of the top screen of the replacement screening operation.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For a conveyor belt: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width of the existing belt being replaced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width of the replacement conveyor belt.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(4) For a storage bin: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The rated capacity in megagrams or tons of the existing storage bin being replaced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The rated capacity in megagrams or tons of replacement storage bins.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(b)(1) 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For each bag leak detection system installed and operated according to §60.674(d), the owner or operator must keep the records specified in paragraphs (b)(2)(i) through (iii) of this section.</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Records of the bag leak detection system output;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 Records of bag leak detection system adjustments, including the date and time of the adjustment, the initial bag leak detection system settings, and the final bag leak detection system settings; and</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(iii) 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(3) 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(c) During the initial performance test of a wet scrubber, and daily thereafter, the owner or operator shall record the measurements of both the change in pressure of the gas stream across the scrubber and the scrubbing liquid flow rate.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(d) 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 The reports required under paragraph (d) of this section shall be postmarked within 30 days following end of the second and fourth calendar quarters.</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(f) 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(g) 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(h) The subpart A requirement under §60.7(a)(1) for notification of the date construction or reconstruction commenced is waived for affected facilities under this subpart.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(i) A notification of the actual date of initial startup of each affected facility shall be submitted to the Administrator.</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 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(2) For portable aggregate processing plants, the notification of the actual date of initial startup shall include both the home office and the current address or location of the portable plant.</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(j) 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lastRenderedPageBreak/>
        <w:t>(k) Notifications and reports required under this subpart and under subpart A of this part to demonstrate compliance with this subpart need only to be sent to the EPA Region or the State which has been delegated authority according to §60.4(b).</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8" w:anchor="_top" w:history="1">
        <w:r w:rsidR="006D2E70" w:rsidRPr="006D2E70">
          <w:rPr>
            <w:rStyle w:val="Hyperlink"/>
            <w:rFonts w:eastAsia="Times New Roman" w:cs="Times New Roman"/>
            <w:noProof/>
          </w:rPr>
          <w:drawing>
            <wp:inline distT="0" distB="0" distL="0" distR="0">
              <wp:extent cx="152400" cy="152400"/>
              <wp:effectExtent l="0" t="0" r="0" b="0"/>
              <wp:docPr id="36" name="Picture 36"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9" w:name="ap40.7.60_1676.1"/>
      <w:bookmarkEnd w:id="9"/>
      <w:r w:rsidRPr="006D2E70">
        <w:rPr>
          <w:rFonts w:eastAsia="Times New Roman" w:cs="Times New Roman"/>
          <w:b/>
          <w:bCs/>
          <w:color w:val="auto"/>
        </w:rPr>
        <w:t>Table 1 to Subpart OOO of Part 60—Exceptions to Applicability of Subpart A to Subpart OOO</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02"/>
        <w:gridCol w:w="968"/>
        <w:gridCol w:w="6240"/>
      </w:tblGrid>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Subpart A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Applies to</w:t>
            </w:r>
            <w:r w:rsidRPr="006D2E70">
              <w:rPr>
                <w:rFonts w:eastAsia="Times New Roman" w:cs="Times New Roman"/>
                <w:b/>
                <w:bCs/>
                <w:color w:val="auto"/>
              </w:rPr>
              <w:br/>
              <w:t>subpart OOO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Explanation</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60.4, Address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Yes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Except in §60.4(a) and (b) submittals need not be submitted to both the EPA Region and delegated State authority (§60.676(k)).</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60.7, 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Yes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Except in (a)(1) notification of the date construction or reconstruction commenced (§60.676(h)).</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Also, except in (a)(6) performance tests involving only Method 9 (40 CFR part 60, Appendix A-4) require a 7-day advance notification instead of 30 days (§60.675(g)).</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60.8,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Yes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Except in (d) performance tests involving only Method 9 (40 CFR part 60, Appendix A-4) require a 7-day advance notification instead of 30 days (§60.675(g)).</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60.11, 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Yes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Except in (b) under certain conditions (§§60.675(c)), Method 9 (40 CFR part 60, Appendix A-4) observation is reduced from 3 hours to 30 minutes for fugitive emissions.</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60.18, General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No</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Flares will not be used to comply with the emission limits.</w:t>
            </w:r>
          </w:p>
        </w:tc>
      </w:tr>
    </w:tbl>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19" w:anchor="_top" w:history="1">
        <w:r w:rsidR="006D2E70" w:rsidRPr="006D2E70">
          <w:rPr>
            <w:rStyle w:val="Hyperlink"/>
            <w:rFonts w:eastAsia="Times New Roman" w:cs="Times New Roman"/>
            <w:noProof/>
          </w:rPr>
          <w:drawing>
            <wp:inline distT="0" distB="0" distL="0" distR="0">
              <wp:extent cx="152400" cy="152400"/>
              <wp:effectExtent l="0" t="0" r="0" b="0"/>
              <wp:docPr id="35" name="Picture 3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10" w:name="ap40.7.60_1676.2"/>
      <w:bookmarkEnd w:id="10"/>
      <w:r w:rsidRPr="006D2E70">
        <w:rPr>
          <w:rFonts w:eastAsia="Times New Roman" w:cs="Times New Roman"/>
          <w:b/>
          <w:bCs/>
          <w:color w:val="auto"/>
        </w:rPr>
        <w:t>Table 2 to Subpart OOO of Part 60—Stack Emission Limits for Affected Facilities With Capture Systems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86"/>
        <w:gridCol w:w="1656"/>
        <w:gridCol w:w="1932"/>
        <w:gridCol w:w="2636"/>
      </w:tblGrid>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The owner or operator must meet a PM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And the owner or operator must meet an opacity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The owner or operator must demonstrate compliance with these limits by conducting * * *</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0.05 g/dscm (0.022 gr/dscf)</w:t>
            </w:r>
            <w:r w:rsidRPr="006D2E70">
              <w:rPr>
                <w:rFonts w:eastAsia="Times New Roman" w:cs="Times New Roman"/>
                <w:color w:val="auto"/>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7 percent for dry control devices</w:t>
            </w:r>
            <w:r w:rsidRPr="006D2E70">
              <w:rPr>
                <w:rFonts w:eastAsia="Times New Roman" w:cs="Times New Roman"/>
                <w:color w:val="auto"/>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An initial performance test according to §60.8 of this part and §60.675 of this subpart; and</w:t>
            </w:r>
            <w:r w:rsidRPr="006D2E70">
              <w:rPr>
                <w:rFonts w:eastAsia="Times New Roman" w:cs="Times New Roman"/>
                <w:color w:val="auto"/>
              </w:rPr>
              <w:br/>
              <w:t>Monitoring of wet scrubber parameters according to §60.674(a) and §60.676(c), (d), and (e).</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0.032 g/dscm (0.014 gr/dscf)</w:t>
            </w:r>
            <w:r w:rsidRPr="006D2E70">
              <w:rPr>
                <w:rFonts w:eastAsia="Times New Roman" w:cs="Times New Roman"/>
                <w:color w:val="auto"/>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Not applicable (except for individual enclosed storage bins)</w:t>
            </w:r>
            <w:r w:rsidRPr="006D2E70">
              <w:rPr>
                <w:rFonts w:eastAsia="Times New Roman" w:cs="Times New Roman"/>
                <w:color w:val="auto"/>
              </w:rPr>
              <w:br/>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An initial performance test according to §60.8 of this part and §60.675 of this subpart; and</w:t>
            </w:r>
            <w:r w:rsidRPr="006D2E70">
              <w:rPr>
                <w:rFonts w:eastAsia="Times New Roman" w:cs="Times New Roman"/>
                <w:color w:val="auto"/>
              </w:rPr>
              <w:br/>
              <w:t>Monitoring of wet scrubber parameters according to §60.674(a) and §60.676(c), (d), and (e); and</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Monitoring of baghouses according to §60.674(c), (d), or (e) and §60.676(b).</w:t>
            </w:r>
          </w:p>
        </w:tc>
      </w:tr>
    </w:tbl>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vertAlign w:val="superscript"/>
        </w:rPr>
        <w:t>a</w:t>
      </w:r>
      <w:r w:rsidRPr="006D2E70">
        <w:rPr>
          <w:rFonts w:eastAsia="Times New Roman" w:cs="Times New Roman"/>
          <w:color w:val="auto"/>
        </w:rPr>
        <w:t>Exceptions to the PM limit apply for individual enclosed storage bins and other equipment. See §60.672(d) through (f).</w:t>
      </w:r>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vertAlign w:val="superscript"/>
        </w:rPr>
        <w:t>b</w:t>
      </w:r>
      <w:r w:rsidRPr="006D2E70">
        <w:rPr>
          <w:rFonts w:eastAsia="Times New Roman" w:cs="Times New Roman"/>
          <w:color w:val="auto"/>
        </w:rPr>
        <w:t>The stack opacity limit and associated opacity testing requirements do not apply for affected facilities using wet scrubbers.</w:t>
      </w:r>
    </w:p>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20" w:anchor="_top" w:history="1">
        <w:r w:rsidR="006D2E70" w:rsidRPr="006D2E70">
          <w:rPr>
            <w:rStyle w:val="Hyperlink"/>
            <w:rFonts w:eastAsia="Times New Roman" w:cs="Times New Roman"/>
            <w:noProof/>
          </w:rPr>
          <w:drawing>
            <wp:inline distT="0" distB="0" distL="0" distR="0">
              <wp:extent cx="152400" cy="152400"/>
              <wp:effectExtent l="0" t="0" r="0" b="0"/>
              <wp:docPr id="34" name="Picture 3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bookmarkStart w:id="11" w:name="ap40.7.60_1676.3"/>
      <w:bookmarkEnd w:id="11"/>
      <w:r w:rsidRPr="006D2E70">
        <w:rPr>
          <w:rFonts w:eastAsia="Times New Roman" w:cs="Times New Roman"/>
          <w:b/>
          <w:bCs/>
          <w:color w:val="auto"/>
        </w:rPr>
        <w:t>Table 3 to Subpart OOO of Part 60—Fugitive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89"/>
        <w:gridCol w:w="2992"/>
        <w:gridCol w:w="1665"/>
        <w:gridCol w:w="3264"/>
      </w:tblGrid>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The owner or operator must meet the following fugitive emissions limit for crushers at which a capture system is not used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b/>
                <w:bCs/>
                <w:color w:val="auto"/>
              </w:rPr>
            </w:pPr>
            <w:r w:rsidRPr="006D2E70">
              <w:rPr>
                <w:rFonts w:eastAsia="Times New Roman" w:cs="Times New Roman"/>
                <w:b/>
                <w:bCs/>
                <w:color w:val="auto"/>
              </w:rPr>
              <w:t>The owner or operator must demonstrate compliance with these limits by conducting * * *</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10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15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An initial performance test according to §60.11 of this part and §60.675 of this subpart.</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7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12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An initial performance test according to §60.11 of this part and §60.675 of this subpart; and</w:t>
            </w:r>
            <w:r w:rsidRPr="006D2E70">
              <w:rPr>
                <w:rFonts w:eastAsia="Times New Roman" w:cs="Times New Roman"/>
                <w:color w:val="auto"/>
              </w:rPr>
              <w:br/>
              <w:t>Periodic inspections of water sprays according to §60.674(b) and §60.676(b); and</w:t>
            </w:r>
          </w:p>
        </w:tc>
      </w:tr>
      <w:tr w:rsidR="006D2E70" w:rsidRPr="006D2E70" w:rsidTr="006D2E7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tc>
        <w:tc>
          <w:tcPr>
            <w:tcW w:w="0" w:type="auto"/>
            <w:tcBorders>
              <w:top w:val="single" w:sz="6" w:space="0" w:color="000000"/>
              <w:left w:val="single" w:sz="6" w:space="0" w:color="000000"/>
              <w:bottom w:val="single" w:sz="6" w:space="0" w:color="000000"/>
              <w:right w:val="single" w:sz="6" w:space="0" w:color="000000"/>
            </w:tcBorders>
            <w:hideMark/>
          </w:tcPr>
          <w:p w:rsidR="006D2E70" w:rsidRPr="006D2E70"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r w:rsidRPr="006D2E70">
              <w:rPr>
                <w:rFonts w:eastAsia="Times New Roman" w:cs="Times New Roman"/>
                <w:color w:val="auto"/>
              </w:rPr>
              <w:t xml:space="preserve">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w:t>
            </w:r>
            <w:r w:rsidRPr="006D2E70">
              <w:rPr>
                <w:rFonts w:eastAsia="Times New Roman" w:cs="Times New Roman"/>
                <w:color w:val="auto"/>
              </w:rPr>
              <w:lastRenderedPageBreak/>
              <w:t>testing requirement.</w:t>
            </w:r>
          </w:p>
        </w:tc>
      </w:tr>
    </w:tbl>
    <w:p w:rsidR="006D2E70" w:rsidRPr="006D2E70" w:rsidRDefault="00943140" w:rsidP="006D2E70">
      <w:pPr>
        <w:tabs>
          <w:tab w:val="clear" w:pos="360"/>
          <w:tab w:val="clear" w:pos="720"/>
          <w:tab w:val="clear" w:pos="1080"/>
          <w:tab w:val="clear" w:pos="1440"/>
          <w:tab w:val="clear" w:pos="10080"/>
        </w:tabs>
        <w:spacing w:before="60" w:after="0"/>
        <w:rPr>
          <w:rFonts w:eastAsia="Times New Roman" w:cs="Times New Roman"/>
          <w:color w:val="auto"/>
        </w:rPr>
      </w:pPr>
      <w:hyperlink r:id="rId21" w:anchor="_top" w:history="1">
        <w:r w:rsidR="006D2E70" w:rsidRPr="006D2E70">
          <w:rPr>
            <w:rStyle w:val="Hyperlink"/>
            <w:rFonts w:eastAsia="Times New Roman" w:cs="Times New Roman"/>
            <w:noProof/>
          </w:rPr>
          <w:drawing>
            <wp:inline distT="0" distB="0" distL="0" distR="0" wp14:anchorId="7442CD11" wp14:editId="41C202AE">
              <wp:extent cx="152400" cy="152400"/>
              <wp:effectExtent l="0" t="0" r="0" b="0"/>
              <wp:docPr id="33" name="Picture 3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6D2E70" w:rsidRPr="006D2E70">
          <w:rPr>
            <w:rStyle w:val="Hyperlink"/>
            <w:rFonts w:eastAsia="Times New Roman" w:cs="Times New Roman"/>
          </w:rPr>
          <w:t>Back to Top</w:t>
        </w:r>
      </w:hyperlink>
    </w:p>
    <w:p w:rsidR="006D2E70" w:rsidRPr="00762BBD" w:rsidRDefault="006D2E70" w:rsidP="006D2E70">
      <w:pPr>
        <w:tabs>
          <w:tab w:val="clear" w:pos="360"/>
          <w:tab w:val="clear" w:pos="720"/>
          <w:tab w:val="clear" w:pos="1080"/>
          <w:tab w:val="clear" w:pos="1440"/>
          <w:tab w:val="clear" w:pos="10080"/>
        </w:tabs>
        <w:spacing w:before="60" w:after="0"/>
        <w:rPr>
          <w:rFonts w:eastAsia="Times New Roman" w:cs="Times New Roman"/>
          <w:color w:val="auto"/>
        </w:rPr>
      </w:pPr>
    </w:p>
    <w:sectPr w:rsidR="006D2E70" w:rsidRPr="00762BBD" w:rsidSect="001B5C2F">
      <w:headerReference w:type="default" r:id="rId22"/>
      <w:footerReference w:type="default" r:id="rId23"/>
      <w:pgSz w:w="12240" w:h="15840" w:code="1"/>
      <w:pgMar w:top="1170" w:right="1080" w:bottom="810" w:left="1080" w:header="450" w:footer="432" w:gutter="0"/>
      <w:paperSrc w:first="1266" w:other="1266"/>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B0C" w:rsidRDefault="008C4B0C" w:rsidP="00F14A42">
      <w:pPr>
        <w:spacing w:after="0"/>
      </w:pPr>
      <w:r>
        <w:separator/>
      </w:r>
    </w:p>
  </w:endnote>
  <w:endnote w:type="continuationSeparator" w:id="0">
    <w:p w:rsidR="008C4B0C" w:rsidRDefault="008C4B0C" w:rsidP="00F14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B0C" w:rsidRDefault="008C4B0C" w:rsidP="00525E24">
    <w:pPr>
      <w:pStyle w:val="Footer"/>
      <w:pBdr>
        <w:top w:val="single" w:sz="4" w:space="1" w:color="auto"/>
      </w:pBdr>
      <w:tabs>
        <w:tab w:val="clear" w:pos="4680"/>
        <w:tab w:val="clear" w:pos="9360"/>
        <w:tab w:val="center" w:pos="5040"/>
        <w:tab w:val="right" w:pos="10080"/>
      </w:tabs>
    </w:pPr>
    <w:r>
      <w:t xml:space="preserve">40 CFR 60, Subpart </w:t>
    </w:r>
    <w:r w:rsidR="006D2E70">
      <w:t>OOO</w:t>
    </w:r>
    <w:r>
      <w:tab/>
      <w:t xml:space="preserve">Page </w:t>
    </w:r>
    <w:r w:rsidR="00407CC6">
      <w:fldChar w:fldCharType="begin"/>
    </w:r>
    <w:r w:rsidR="00407CC6">
      <w:instrText xml:space="preserve"> PAGE   \* MERGEFORMAT </w:instrText>
    </w:r>
    <w:r w:rsidR="00407CC6">
      <w:fldChar w:fldCharType="separate"/>
    </w:r>
    <w:r w:rsidR="00943140">
      <w:rPr>
        <w:noProof/>
      </w:rPr>
      <w:t>1</w:t>
    </w:r>
    <w:r w:rsidR="00407CC6">
      <w:rPr>
        <w:noProof/>
      </w:rPr>
      <w:fldChar w:fldCharType="end"/>
    </w:r>
    <w:r>
      <w:t xml:space="preserve"> of </w:t>
    </w:r>
    <w:r w:rsidR="00943140">
      <w:t>12</w:t>
    </w:r>
    <w:r>
      <w:tab/>
      <w:t xml:space="preserve">Last Revised </w:t>
    </w:r>
    <w:r w:rsidR="006D2E70">
      <w:t>April</w:t>
    </w:r>
    <w:r>
      <w:t xml:space="preserve"> </w:t>
    </w:r>
    <w:r w:rsidR="006D2E70">
      <w:t>28</w:t>
    </w:r>
    <w:r>
      <w:t>, 20</w:t>
    </w:r>
    <w:r w:rsidR="006D2E70">
      <w:t>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B0C" w:rsidRDefault="008C4B0C" w:rsidP="00F14A42">
      <w:pPr>
        <w:spacing w:after="0"/>
      </w:pPr>
      <w:r>
        <w:separator/>
      </w:r>
    </w:p>
  </w:footnote>
  <w:footnote w:type="continuationSeparator" w:id="0">
    <w:p w:rsidR="008C4B0C" w:rsidRDefault="008C4B0C" w:rsidP="00F14A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B0C" w:rsidRPr="00F14A42" w:rsidRDefault="00943140" w:rsidP="006D2E70">
    <w:pPr>
      <w:tabs>
        <w:tab w:val="clear" w:pos="360"/>
        <w:tab w:val="clear" w:pos="720"/>
        <w:tab w:val="clear" w:pos="1080"/>
        <w:tab w:val="clear" w:pos="1440"/>
        <w:tab w:val="clear" w:pos="10080"/>
      </w:tabs>
      <w:spacing w:after="20"/>
      <w:jc w:val="center"/>
      <w:outlineLvl w:val="1"/>
      <w:rPr>
        <w:sz w:val="12"/>
        <w:szCs w:val="12"/>
      </w:rPr>
    </w:pPr>
    <w:r>
      <w:rPr>
        <w:rFonts w:eastAsia="Times New Roman" w:cs="Times New Roman"/>
        <w:b/>
        <w:bCs/>
        <w:noProof/>
        <w:color w:val="auto"/>
      </w:rPr>
      <w:pict>
        <v:shapetype id="_x0000_t32" coordsize="21600,21600" o:spt="32" o:oned="t" path="m,l21600,21600e" filled="f">
          <v:path arrowok="t" fillok="f" o:connecttype="none"/>
          <o:lock v:ext="edit" shapetype="t"/>
        </v:shapetype>
        <v:shape id="_x0000_s2049" type="#_x0000_t32" style="position:absolute;left:0;text-align:left;margin-left:.75pt;margin-top:21pt;width:498pt;height:0;z-index:251658240" o:connectortype="straight"/>
      </w:pict>
    </w:r>
    <w:r w:rsidR="008C4B0C">
      <w:rPr>
        <w:rFonts w:eastAsia="Times New Roman" w:cs="Times New Roman"/>
        <w:b/>
        <w:bCs/>
        <w:color w:val="auto"/>
      </w:rPr>
      <w:t xml:space="preserve">40 CFR 60, </w:t>
    </w:r>
    <w:r w:rsidR="006D2E70">
      <w:rPr>
        <w:rFonts w:eastAsia="Times New Roman" w:cs="Times New Roman"/>
        <w:b/>
        <w:bCs/>
        <w:color w:val="auto"/>
      </w:rPr>
      <w:t>Subpart OOO</w:t>
    </w:r>
    <w:r w:rsidR="008C4B0C" w:rsidRPr="00762BBD">
      <w:rPr>
        <w:rFonts w:eastAsia="Times New Roman" w:cs="Times New Roman"/>
        <w:b/>
        <w:bCs/>
        <w:color w:val="auto"/>
      </w:rPr>
      <w:t>—</w:t>
    </w:r>
    <w:r w:rsidR="006D2E70" w:rsidRPr="006D2E70">
      <w:t xml:space="preserve"> </w:t>
    </w:r>
    <w:r w:rsidR="006D2E70" w:rsidRPr="006D2E70">
      <w:rPr>
        <w:rFonts w:eastAsia="Times New Roman" w:cs="Times New Roman"/>
        <w:b/>
        <w:bCs/>
        <w:color w:val="auto"/>
      </w:rPr>
      <w:t>Standards of Performance for Nonmetallic Mineral Processing Plants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rawingGridVerticalSpacing w:val="299"/>
  <w:displayHorizont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762BBD"/>
    <w:rsid w:val="00050BC7"/>
    <w:rsid w:val="000953E9"/>
    <w:rsid w:val="000C64C1"/>
    <w:rsid w:val="001123C9"/>
    <w:rsid w:val="00185E79"/>
    <w:rsid w:val="001B5C2F"/>
    <w:rsid w:val="001C4704"/>
    <w:rsid w:val="001D6761"/>
    <w:rsid w:val="002151B6"/>
    <w:rsid w:val="00254608"/>
    <w:rsid w:val="002A469D"/>
    <w:rsid w:val="00370E4C"/>
    <w:rsid w:val="003D2022"/>
    <w:rsid w:val="00407CC6"/>
    <w:rsid w:val="0042485E"/>
    <w:rsid w:val="004C1BB5"/>
    <w:rsid w:val="00525E24"/>
    <w:rsid w:val="0056369C"/>
    <w:rsid w:val="005B1DB5"/>
    <w:rsid w:val="005E4A81"/>
    <w:rsid w:val="006A6281"/>
    <w:rsid w:val="006B7530"/>
    <w:rsid w:val="006D2E70"/>
    <w:rsid w:val="007127B8"/>
    <w:rsid w:val="00762BBD"/>
    <w:rsid w:val="00781AF6"/>
    <w:rsid w:val="008215C9"/>
    <w:rsid w:val="00832690"/>
    <w:rsid w:val="0083712B"/>
    <w:rsid w:val="008A6A36"/>
    <w:rsid w:val="008C4B0C"/>
    <w:rsid w:val="008F2F98"/>
    <w:rsid w:val="00907A6F"/>
    <w:rsid w:val="00943140"/>
    <w:rsid w:val="009643B2"/>
    <w:rsid w:val="009A4E16"/>
    <w:rsid w:val="009C2603"/>
    <w:rsid w:val="00A113E5"/>
    <w:rsid w:val="00A32CA4"/>
    <w:rsid w:val="00A47ECE"/>
    <w:rsid w:val="00A75DC6"/>
    <w:rsid w:val="00B7110C"/>
    <w:rsid w:val="00C76B31"/>
    <w:rsid w:val="00D51F57"/>
    <w:rsid w:val="00D5386C"/>
    <w:rsid w:val="00D60776"/>
    <w:rsid w:val="00F14A42"/>
    <w:rsid w:val="00F76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A81"/>
    <w:pPr>
      <w:tabs>
        <w:tab w:val="left" w:pos="360"/>
        <w:tab w:val="left" w:pos="720"/>
        <w:tab w:val="left" w:pos="1080"/>
        <w:tab w:val="left" w:pos="1440"/>
        <w:tab w:val="right" w:pos="10080"/>
      </w:tabs>
      <w:spacing w:after="120" w:line="240" w:lineRule="auto"/>
    </w:pPr>
    <w:rPr>
      <w:rFonts w:ascii="Times New Roman" w:hAnsi="Times New Roman"/>
      <w:color w:val="000000" w:themeColor="text1"/>
    </w:rPr>
  </w:style>
  <w:style w:type="paragraph" w:styleId="Heading1">
    <w:name w:val="heading 1"/>
    <w:basedOn w:val="Normal"/>
    <w:link w:val="Heading1Char"/>
    <w:uiPriority w:val="9"/>
    <w:qFormat/>
    <w:rsid w:val="00762BBD"/>
    <w:pPr>
      <w:tabs>
        <w:tab w:val="clear" w:pos="360"/>
        <w:tab w:val="clear" w:pos="720"/>
        <w:tab w:val="clear" w:pos="1080"/>
        <w:tab w:val="clear" w:pos="1440"/>
        <w:tab w:val="clear" w:pos="10080"/>
      </w:tabs>
      <w:spacing w:before="200" w:after="100"/>
      <w:jc w:val="center"/>
      <w:outlineLvl w:val="0"/>
    </w:pPr>
    <w:rPr>
      <w:rFonts w:eastAsia="Times New Roman" w:cs="Times New Roman"/>
      <w:b/>
      <w:bCs/>
      <w:color w:val="auto"/>
      <w:kern w:val="36"/>
      <w:sz w:val="16"/>
      <w:szCs w:val="16"/>
    </w:rPr>
  </w:style>
  <w:style w:type="paragraph" w:styleId="Heading2">
    <w:name w:val="heading 2"/>
    <w:basedOn w:val="Normal"/>
    <w:link w:val="Heading2Char"/>
    <w:uiPriority w:val="9"/>
    <w:qFormat/>
    <w:rsid w:val="00762BBD"/>
    <w:pPr>
      <w:tabs>
        <w:tab w:val="clear" w:pos="360"/>
        <w:tab w:val="clear" w:pos="720"/>
        <w:tab w:val="clear" w:pos="1080"/>
        <w:tab w:val="clear" w:pos="1440"/>
        <w:tab w:val="clear" w:pos="10080"/>
      </w:tabs>
      <w:spacing w:before="200" w:after="100"/>
      <w:jc w:val="center"/>
      <w:outlineLvl w:val="1"/>
    </w:pPr>
    <w:rPr>
      <w:rFonts w:eastAsia="Times New Roman" w:cs="Times New Roman"/>
      <w:b/>
      <w:bCs/>
      <w:color w:val="auto"/>
      <w:sz w:val="16"/>
      <w:szCs w:val="16"/>
    </w:rPr>
  </w:style>
  <w:style w:type="paragraph" w:styleId="Heading3">
    <w:name w:val="heading 3"/>
    <w:basedOn w:val="Normal"/>
    <w:link w:val="Heading3Char"/>
    <w:uiPriority w:val="9"/>
    <w:qFormat/>
    <w:rsid w:val="00762BBD"/>
    <w:pPr>
      <w:tabs>
        <w:tab w:val="clear" w:pos="360"/>
        <w:tab w:val="clear" w:pos="720"/>
        <w:tab w:val="clear" w:pos="1080"/>
        <w:tab w:val="clear" w:pos="1440"/>
        <w:tab w:val="clear" w:pos="10080"/>
      </w:tabs>
      <w:spacing w:before="200" w:after="100"/>
      <w:jc w:val="center"/>
      <w:outlineLvl w:val="2"/>
    </w:pPr>
    <w:rPr>
      <w:rFonts w:eastAsia="Times New Roman" w:cs="Times New Roman"/>
      <w:b/>
      <w:bCs/>
      <w:color w:val="auto"/>
      <w:sz w:val="16"/>
      <w:szCs w:val="16"/>
    </w:rPr>
  </w:style>
  <w:style w:type="paragraph" w:styleId="Heading4">
    <w:name w:val="heading 4"/>
    <w:basedOn w:val="Normal"/>
    <w:link w:val="Heading4Char"/>
    <w:uiPriority w:val="9"/>
    <w:qFormat/>
    <w:rsid w:val="00762BBD"/>
    <w:pPr>
      <w:tabs>
        <w:tab w:val="clear" w:pos="360"/>
        <w:tab w:val="clear" w:pos="720"/>
        <w:tab w:val="clear" w:pos="1080"/>
        <w:tab w:val="clear" w:pos="1440"/>
        <w:tab w:val="clear" w:pos="10080"/>
      </w:tabs>
      <w:spacing w:before="200" w:after="100"/>
      <w:jc w:val="center"/>
      <w:outlineLvl w:val="3"/>
    </w:pPr>
    <w:rPr>
      <w:rFonts w:eastAsia="Times New Roman" w:cs="Times New Roman"/>
      <w:b/>
      <w:bCs/>
      <w:color w:val="auto"/>
      <w:sz w:val="16"/>
      <w:szCs w:val="16"/>
    </w:rPr>
  </w:style>
  <w:style w:type="paragraph" w:styleId="Heading5">
    <w:name w:val="heading 5"/>
    <w:basedOn w:val="Normal"/>
    <w:link w:val="Heading5Char"/>
    <w:uiPriority w:val="9"/>
    <w:qFormat/>
    <w:rsid w:val="00762BBD"/>
    <w:pPr>
      <w:tabs>
        <w:tab w:val="clear" w:pos="360"/>
        <w:tab w:val="clear" w:pos="720"/>
        <w:tab w:val="clear" w:pos="1080"/>
        <w:tab w:val="clear" w:pos="1440"/>
        <w:tab w:val="clear" w:pos="10080"/>
      </w:tabs>
      <w:spacing w:before="200" w:after="100"/>
      <w:jc w:val="center"/>
      <w:outlineLvl w:val="4"/>
    </w:pPr>
    <w:rPr>
      <w:rFonts w:eastAsia="Times New Roman" w:cs="Times New Roman"/>
      <w:b/>
      <w:bCs/>
      <w:color w:val="auto"/>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BBD"/>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762BBD"/>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762BBD"/>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762BBD"/>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762BBD"/>
    <w:rPr>
      <w:rFonts w:ascii="Times New Roman" w:eastAsia="Times New Roman" w:hAnsi="Times New Roman" w:cs="Times New Roman"/>
      <w:b/>
      <w:bCs/>
      <w:sz w:val="16"/>
      <w:szCs w:val="16"/>
    </w:rPr>
  </w:style>
  <w:style w:type="paragraph" w:styleId="BalloonText">
    <w:name w:val="Balloon Text"/>
    <w:basedOn w:val="Normal"/>
    <w:link w:val="BalloonTextChar"/>
    <w:uiPriority w:val="99"/>
    <w:semiHidden/>
    <w:unhideWhenUsed/>
    <w:rsid w:val="00762BB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BBD"/>
    <w:rPr>
      <w:rFonts w:ascii="Tahoma" w:hAnsi="Tahoma" w:cs="Tahoma"/>
      <w:color w:val="000000" w:themeColor="text1"/>
      <w:sz w:val="16"/>
      <w:szCs w:val="16"/>
    </w:rPr>
  </w:style>
  <w:style w:type="paragraph" w:styleId="Header">
    <w:name w:val="header"/>
    <w:basedOn w:val="Normal"/>
    <w:link w:val="HeaderChar"/>
    <w:uiPriority w:val="99"/>
    <w:unhideWhenUsed/>
    <w:rsid w:val="00F14A42"/>
    <w:pPr>
      <w:tabs>
        <w:tab w:val="clear" w:pos="360"/>
        <w:tab w:val="clear" w:pos="720"/>
        <w:tab w:val="clear" w:pos="1080"/>
        <w:tab w:val="clear" w:pos="1440"/>
        <w:tab w:val="clear" w:pos="10080"/>
        <w:tab w:val="center" w:pos="4680"/>
        <w:tab w:val="right" w:pos="9360"/>
      </w:tabs>
      <w:spacing w:after="0"/>
    </w:pPr>
  </w:style>
  <w:style w:type="character" w:customStyle="1" w:styleId="HeaderChar">
    <w:name w:val="Header Char"/>
    <w:basedOn w:val="DefaultParagraphFont"/>
    <w:link w:val="Header"/>
    <w:uiPriority w:val="99"/>
    <w:rsid w:val="00F14A42"/>
    <w:rPr>
      <w:rFonts w:ascii="Times New Roman" w:hAnsi="Times New Roman"/>
      <w:color w:val="000000" w:themeColor="text1"/>
    </w:rPr>
  </w:style>
  <w:style w:type="paragraph" w:styleId="Footer">
    <w:name w:val="footer"/>
    <w:basedOn w:val="Normal"/>
    <w:link w:val="FooterChar"/>
    <w:uiPriority w:val="99"/>
    <w:unhideWhenUsed/>
    <w:rsid w:val="00F14A42"/>
    <w:pPr>
      <w:tabs>
        <w:tab w:val="clear" w:pos="360"/>
        <w:tab w:val="clear" w:pos="720"/>
        <w:tab w:val="clear" w:pos="1080"/>
        <w:tab w:val="clear" w:pos="1440"/>
        <w:tab w:val="clear" w:pos="10080"/>
        <w:tab w:val="center" w:pos="4680"/>
        <w:tab w:val="right" w:pos="9360"/>
      </w:tabs>
      <w:spacing w:after="0"/>
    </w:pPr>
  </w:style>
  <w:style w:type="character" w:customStyle="1" w:styleId="FooterChar">
    <w:name w:val="Footer Char"/>
    <w:basedOn w:val="DefaultParagraphFont"/>
    <w:link w:val="Footer"/>
    <w:uiPriority w:val="99"/>
    <w:rsid w:val="00F14A42"/>
    <w:rPr>
      <w:rFonts w:ascii="Times New Roman" w:hAnsi="Times New Roman"/>
      <w:color w:val="000000" w:themeColor="text1"/>
    </w:rPr>
  </w:style>
  <w:style w:type="character" w:styleId="Hyperlink">
    <w:name w:val="Hyperlink"/>
    <w:basedOn w:val="DefaultParagraphFont"/>
    <w:uiPriority w:val="99"/>
    <w:unhideWhenUsed/>
    <w:rsid w:val="006D2E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9927">
      <w:bodyDiv w:val="1"/>
      <w:marLeft w:val="0"/>
      <w:marRight w:val="0"/>
      <w:marTop w:val="30"/>
      <w:marBottom w:val="750"/>
      <w:divBdr>
        <w:top w:val="none" w:sz="0" w:space="0" w:color="auto"/>
        <w:left w:val="none" w:sz="0" w:space="0" w:color="auto"/>
        <w:bottom w:val="none" w:sz="0" w:space="0" w:color="auto"/>
        <w:right w:val="none" w:sz="0" w:space="0" w:color="auto"/>
      </w:divBdr>
      <w:divsChild>
        <w:div w:id="180124182">
          <w:marLeft w:val="0"/>
          <w:marRight w:val="0"/>
          <w:marTop w:val="0"/>
          <w:marBottom w:val="0"/>
          <w:divBdr>
            <w:top w:val="none" w:sz="0" w:space="0" w:color="auto"/>
            <w:left w:val="none" w:sz="0" w:space="0" w:color="auto"/>
            <w:bottom w:val="none" w:sz="0" w:space="0" w:color="auto"/>
            <w:right w:val="none" w:sz="0" w:space="0" w:color="auto"/>
          </w:divBdr>
          <w:divsChild>
            <w:div w:id="152726446">
              <w:marLeft w:val="0"/>
              <w:marRight w:val="0"/>
              <w:marTop w:val="0"/>
              <w:marBottom w:val="0"/>
              <w:divBdr>
                <w:top w:val="none" w:sz="0" w:space="0" w:color="auto"/>
                <w:left w:val="none" w:sz="0" w:space="0" w:color="auto"/>
                <w:bottom w:val="none" w:sz="0" w:space="0" w:color="auto"/>
                <w:right w:val="none" w:sz="0" w:space="0" w:color="auto"/>
              </w:divBdr>
            </w:div>
            <w:div w:id="262618132">
              <w:marLeft w:val="0"/>
              <w:marRight w:val="0"/>
              <w:marTop w:val="0"/>
              <w:marBottom w:val="0"/>
              <w:divBdr>
                <w:top w:val="none" w:sz="0" w:space="0" w:color="auto"/>
                <w:left w:val="none" w:sz="0" w:space="0" w:color="auto"/>
                <w:bottom w:val="none" w:sz="0" w:space="0" w:color="auto"/>
                <w:right w:val="none" w:sz="0" w:space="0" w:color="auto"/>
              </w:divBdr>
            </w:div>
            <w:div w:id="1577015393">
              <w:marLeft w:val="0"/>
              <w:marRight w:val="0"/>
              <w:marTop w:val="0"/>
              <w:marBottom w:val="0"/>
              <w:divBdr>
                <w:top w:val="none" w:sz="0" w:space="0" w:color="auto"/>
                <w:left w:val="none" w:sz="0" w:space="0" w:color="auto"/>
                <w:bottom w:val="none" w:sz="0" w:space="0" w:color="auto"/>
                <w:right w:val="none" w:sz="0" w:space="0" w:color="auto"/>
              </w:divBdr>
            </w:div>
            <w:div w:id="849367289">
              <w:marLeft w:val="0"/>
              <w:marRight w:val="0"/>
              <w:marTop w:val="0"/>
              <w:marBottom w:val="0"/>
              <w:divBdr>
                <w:top w:val="none" w:sz="0" w:space="0" w:color="auto"/>
                <w:left w:val="none" w:sz="0" w:space="0" w:color="auto"/>
                <w:bottom w:val="none" w:sz="0" w:space="0" w:color="auto"/>
                <w:right w:val="none" w:sz="0" w:space="0" w:color="auto"/>
              </w:divBdr>
            </w:div>
            <w:div w:id="1876388199">
              <w:marLeft w:val="0"/>
              <w:marRight w:val="0"/>
              <w:marTop w:val="0"/>
              <w:marBottom w:val="0"/>
              <w:divBdr>
                <w:top w:val="none" w:sz="0" w:space="0" w:color="auto"/>
                <w:left w:val="none" w:sz="0" w:space="0" w:color="auto"/>
                <w:bottom w:val="none" w:sz="0" w:space="0" w:color="auto"/>
                <w:right w:val="none" w:sz="0" w:space="0" w:color="auto"/>
              </w:divBdr>
            </w:div>
            <w:div w:id="803080492">
              <w:marLeft w:val="0"/>
              <w:marRight w:val="0"/>
              <w:marTop w:val="0"/>
              <w:marBottom w:val="0"/>
              <w:divBdr>
                <w:top w:val="none" w:sz="0" w:space="0" w:color="auto"/>
                <w:left w:val="none" w:sz="0" w:space="0" w:color="auto"/>
                <w:bottom w:val="none" w:sz="0" w:space="0" w:color="auto"/>
                <w:right w:val="none" w:sz="0" w:space="0" w:color="auto"/>
              </w:divBdr>
            </w:div>
            <w:div w:id="2046170057">
              <w:marLeft w:val="0"/>
              <w:marRight w:val="0"/>
              <w:marTop w:val="0"/>
              <w:marBottom w:val="0"/>
              <w:divBdr>
                <w:top w:val="none" w:sz="0" w:space="0" w:color="auto"/>
                <w:left w:val="none" w:sz="0" w:space="0" w:color="auto"/>
                <w:bottom w:val="none" w:sz="0" w:space="0" w:color="auto"/>
                <w:right w:val="none" w:sz="0" w:space="0" w:color="auto"/>
              </w:divBdr>
            </w:div>
            <w:div w:id="53546477">
              <w:marLeft w:val="0"/>
              <w:marRight w:val="0"/>
              <w:marTop w:val="0"/>
              <w:marBottom w:val="0"/>
              <w:divBdr>
                <w:top w:val="none" w:sz="0" w:space="0" w:color="auto"/>
                <w:left w:val="none" w:sz="0" w:space="0" w:color="auto"/>
                <w:bottom w:val="none" w:sz="0" w:space="0" w:color="auto"/>
                <w:right w:val="none" w:sz="0" w:space="0" w:color="auto"/>
              </w:divBdr>
            </w:div>
            <w:div w:id="1200701003">
              <w:marLeft w:val="0"/>
              <w:marRight w:val="0"/>
              <w:marTop w:val="0"/>
              <w:marBottom w:val="0"/>
              <w:divBdr>
                <w:top w:val="none" w:sz="0" w:space="0" w:color="auto"/>
                <w:left w:val="none" w:sz="0" w:space="0" w:color="auto"/>
                <w:bottom w:val="none" w:sz="0" w:space="0" w:color="auto"/>
                <w:right w:val="none" w:sz="0" w:space="0" w:color="auto"/>
              </w:divBdr>
            </w:div>
            <w:div w:id="1246038821">
              <w:marLeft w:val="0"/>
              <w:marRight w:val="0"/>
              <w:marTop w:val="0"/>
              <w:marBottom w:val="0"/>
              <w:divBdr>
                <w:top w:val="none" w:sz="0" w:space="0" w:color="auto"/>
                <w:left w:val="none" w:sz="0" w:space="0" w:color="auto"/>
                <w:bottom w:val="none" w:sz="0" w:space="0" w:color="auto"/>
                <w:right w:val="none" w:sz="0" w:space="0" w:color="auto"/>
              </w:divBdr>
              <w:divsChild>
                <w:div w:id="16624636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2293762">
              <w:marLeft w:val="0"/>
              <w:marRight w:val="0"/>
              <w:marTop w:val="0"/>
              <w:marBottom w:val="0"/>
              <w:divBdr>
                <w:top w:val="none" w:sz="0" w:space="0" w:color="auto"/>
                <w:left w:val="none" w:sz="0" w:space="0" w:color="auto"/>
                <w:bottom w:val="none" w:sz="0" w:space="0" w:color="auto"/>
                <w:right w:val="none" w:sz="0" w:space="0" w:color="auto"/>
              </w:divBdr>
            </w:div>
            <w:div w:id="467892746">
              <w:marLeft w:val="0"/>
              <w:marRight w:val="0"/>
              <w:marTop w:val="0"/>
              <w:marBottom w:val="0"/>
              <w:divBdr>
                <w:top w:val="none" w:sz="0" w:space="0" w:color="auto"/>
                <w:left w:val="none" w:sz="0" w:space="0" w:color="auto"/>
                <w:bottom w:val="none" w:sz="0" w:space="0" w:color="auto"/>
                <w:right w:val="none" w:sz="0" w:space="0" w:color="auto"/>
              </w:divBdr>
              <w:divsChild>
                <w:div w:id="628979485">
                  <w:marLeft w:val="0"/>
                  <w:marRight w:val="0"/>
                  <w:marTop w:val="0"/>
                  <w:marBottom w:val="0"/>
                  <w:divBdr>
                    <w:top w:val="single" w:sz="12" w:space="0" w:color="000000"/>
                    <w:left w:val="single" w:sz="12" w:space="0" w:color="000000"/>
                    <w:bottom w:val="single" w:sz="12" w:space="0" w:color="000000"/>
                    <w:right w:val="single" w:sz="12" w:space="0" w:color="000000"/>
                  </w:divBdr>
                </w:div>
                <w:div w:id="838620060">
                  <w:marLeft w:val="0"/>
                  <w:marRight w:val="0"/>
                  <w:marTop w:val="0"/>
                  <w:marBottom w:val="0"/>
                  <w:divBdr>
                    <w:top w:val="none" w:sz="0" w:space="0" w:color="auto"/>
                    <w:left w:val="none" w:sz="0" w:space="0" w:color="auto"/>
                    <w:bottom w:val="none" w:sz="0" w:space="0" w:color="auto"/>
                    <w:right w:val="none" w:sz="0" w:space="0" w:color="auto"/>
                  </w:divBdr>
                </w:div>
              </w:divsChild>
            </w:div>
            <w:div w:id="1798376231">
              <w:marLeft w:val="0"/>
              <w:marRight w:val="0"/>
              <w:marTop w:val="0"/>
              <w:marBottom w:val="0"/>
              <w:divBdr>
                <w:top w:val="none" w:sz="0" w:space="0" w:color="auto"/>
                <w:left w:val="none" w:sz="0" w:space="0" w:color="auto"/>
                <w:bottom w:val="none" w:sz="0" w:space="0" w:color="auto"/>
                <w:right w:val="none" w:sz="0" w:space="0" w:color="auto"/>
              </w:divBdr>
            </w:div>
            <w:div w:id="548342873">
              <w:marLeft w:val="0"/>
              <w:marRight w:val="0"/>
              <w:marTop w:val="0"/>
              <w:marBottom w:val="0"/>
              <w:divBdr>
                <w:top w:val="none" w:sz="0" w:space="0" w:color="auto"/>
                <w:left w:val="none" w:sz="0" w:space="0" w:color="auto"/>
                <w:bottom w:val="none" w:sz="0" w:space="0" w:color="auto"/>
                <w:right w:val="none" w:sz="0" w:space="0" w:color="auto"/>
              </w:divBdr>
              <w:divsChild>
                <w:div w:id="14468475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127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1800">
      <w:bodyDiv w:val="1"/>
      <w:marLeft w:val="0"/>
      <w:marRight w:val="0"/>
      <w:marTop w:val="30"/>
      <w:marBottom w:val="750"/>
      <w:divBdr>
        <w:top w:val="none" w:sz="0" w:space="0" w:color="auto"/>
        <w:left w:val="none" w:sz="0" w:space="0" w:color="auto"/>
        <w:bottom w:val="none" w:sz="0" w:space="0" w:color="auto"/>
        <w:right w:val="none" w:sz="0" w:space="0" w:color="auto"/>
      </w:divBdr>
      <w:divsChild>
        <w:div w:id="914973479">
          <w:marLeft w:val="0"/>
          <w:marRight w:val="0"/>
          <w:marTop w:val="0"/>
          <w:marBottom w:val="0"/>
          <w:divBdr>
            <w:top w:val="none" w:sz="0" w:space="0" w:color="auto"/>
            <w:left w:val="none" w:sz="0" w:space="0" w:color="auto"/>
            <w:bottom w:val="none" w:sz="0" w:space="0" w:color="auto"/>
            <w:right w:val="none" w:sz="0" w:space="0" w:color="auto"/>
          </w:divBdr>
          <w:divsChild>
            <w:div w:id="1957828799">
              <w:marLeft w:val="0"/>
              <w:marRight w:val="0"/>
              <w:marTop w:val="0"/>
              <w:marBottom w:val="0"/>
              <w:divBdr>
                <w:top w:val="none" w:sz="0" w:space="0" w:color="auto"/>
                <w:left w:val="none" w:sz="0" w:space="0" w:color="auto"/>
                <w:bottom w:val="none" w:sz="0" w:space="0" w:color="auto"/>
                <w:right w:val="none" w:sz="0" w:space="0" w:color="auto"/>
              </w:divBdr>
            </w:div>
            <w:div w:id="1951280615">
              <w:marLeft w:val="0"/>
              <w:marRight w:val="0"/>
              <w:marTop w:val="0"/>
              <w:marBottom w:val="0"/>
              <w:divBdr>
                <w:top w:val="none" w:sz="0" w:space="0" w:color="auto"/>
                <w:left w:val="none" w:sz="0" w:space="0" w:color="auto"/>
                <w:bottom w:val="none" w:sz="0" w:space="0" w:color="auto"/>
                <w:right w:val="none" w:sz="0" w:space="0" w:color="auto"/>
              </w:divBdr>
            </w:div>
            <w:div w:id="478109665">
              <w:marLeft w:val="0"/>
              <w:marRight w:val="0"/>
              <w:marTop w:val="0"/>
              <w:marBottom w:val="0"/>
              <w:divBdr>
                <w:top w:val="none" w:sz="0" w:space="0" w:color="auto"/>
                <w:left w:val="none" w:sz="0" w:space="0" w:color="auto"/>
                <w:bottom w:val="none" w:sz="0" w:space="0" w:color="auto"/>
                <w:right w:val="none" w:sz="0" w:space="0" w:color="auto"/>
              </w:divBdr>
            </w:div>
            <w:div w:id="1796097802">
              <w:marLeft w:val="0"/>
              <w:marRight w:val="0"/>
              <w:marTop w:val="0"/>
              <w:marBottom w:val="0"/>
              <w:divBdr>
                <w:top w:val="none" w:sz="0" w:space="0" w:color="auto"/>
                <w:left w:val="none" w:sz="0" w:space="0" w:color="auto"/>
                <w:bottom w:val="none" w:sz="0" w:space="0" w:color="auto"/>
                <w:right w:val="none" w:sz="0" w:space="0" w:color="auto"/>
              </w:divBdr>
            </w:div>
            <w:div w:id="1679692963">
              <w:marLeft w:val="0"/>
              <w:marRight w:val="0"/>
              <w:marTop w:val="0"/>
              <w:marBottom w:val="0"/>
              <w:divBdr>
                <w:top w:val="none" w:sz="0" w:space="0" w:color="auto"/>
                <w:left w:val="none" w:sz="0" w:space="0" w:color="auto"/>
                <w:bottom w:val="none" w:sz="0" w:space="0" w:color="auto"/>
                <w:right w:val="none" w:sz="0" w:space="0" w:color="auto"/>
              </w:divBdr>
            </w:div>
            <w:div w:id="1116293535">
              <w:marLeft w:val="0"/>
              <w:marRight w:val="0"/>
              <w:marTop w:val="0"/>
              <w:marBottom w:val="0"/>
              <w:divBdr>
                <w:top w:val="none" w:sz="0" w:space="0" w:color="auto"/>
                <w:left w:val="none" w:sz="0" w:space="0" w:color="auto"/>
                <w:bottom w:val="none" w:sz="0" w:space="0" w:color="auto"/>
                <w:right w:val="none" w:sz="0" w:space="0" w:color="auto"/>
              </w:divBdr>
            </w:div>
            <w:div w:id="150485608">
              <w:marLeft w:val="0"/>
              <w:marRight w:val="0"/>
              <w:marTop w:val="0"/>
              <w:marBottom w:val="0"/>
              <w:divBdr>
                <w:top w:val="none" w:sz="0" w:space="0" w:color="auto"/>
                <w:left w:val="none" w:sz="0" w:space="0" w:color="auto"/>
                <w:bottom w:val="none" w:sz="0" w:space="0" w:color="auto"/>
                <w:right w:val="none" w:sz="0" w:space="0" w:color="auto"/>
              </w:divBdr>
            </w:div>
            <w:div w:id="1298533728">
              <w:marLeft w:val="0"/>
              <w:marRight w:val="0"/>
              <w:marTop w:val="0"/>
              <w:marBottom w:val="0"/>
              <w:divBdr>
                <w:top w:val="none" w:sz="0" w:space="0" w:color="auto"/>
                <w:left w:val="none" w:sz="0" w:space="0" w:color="auto"/>
                <w:bottom w:val="none" w:sz="0" w:space="0" w:color="auto"/>
                <w:right w:val="none" w:sz="0" w:space="0" w:color="auto"/>
              </w:divBdr>
            </w:div>
            <w:div w:id="679430260">
              <w:marLeft w:val="0"/>
              <w:marRight w:val="0"/>
              <w:marTop w:val="0"/>
              <w:marBottom w:val="0"/>
              <w:divBdr>
                <w:top w:val="none" w:sz="0" w:space="0" w:color="auto"/>
                <w:left w:val="none" w:sz="0" w:space="0" w:color="auto"/>
                <w:bottom w:val="none" w:sz="0" w:space="0" w:color="auto"/>
                <w:right w:val="none" w:sz="0" w:space="0" w:color="auto"/>
              </w:divBdr>
            </w:div>
            <w:div w:id="1512138381">
              <w:marLeft w:val="0"/>
              <w:marRight w:val="0"/>
              <w:marTop w:val="0"/>
              <w:marBottom w:val="0"/>
              <w:divBdr>
                <w:top w:val="none" w:sz="0" w:space="0" w:color="auto"/>
                <w:left w:val="none" w:sz="0" w:space="0" w:color="auto"/>
                <w:bottom w:val="none" w:sz="0" w:space="0" w:color="auto"/>
                <w:right w:val="none" w:sz="0" w:space="0" w:color="auto"/>
              </w:divBdr>
              <w:divsChild>
                <w:div w:id="8173826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9490500">
              <w:marLeft w:val="0"/>
              <w:marRight w:val="0"/>
              <w:marTop w:val="0"/>
              <w:marBottom w:val="0"/>
              <w:divBdr>
                <w:top w:val="none" w:sz="0" w:space="0" w:color="auto"/>
                <w:left w:val="none" w:sz="0" w:space="0" w:color="auto"/>
                <w:bottom w:val="none" w:sz="0" w:space="0" w:color="auto"/>
                <w:right w:val="none" w:sz="0" w:space="0" w:color="auto"/>
              </w:divBdr>
            </w:div>
            <w:div w:id="1071275217">
              <w:marLeft w:val="0"/>
              <w:marRight w:val="0"/>
              <w:marTop w:val="0"/>
              <w:marBottom w:val="0"/>
              <w:divBdr>
                <w:top w:val="none" w:sz="0" w:space="0" w:color="auto"/>
                <w:left w:val="none" w:sz="0" w:space="0" w:color="auto"/>
                <w:bottom w:val="none" w:sz="0" w:space="0" w:color="auto"/>
                <w:right w:val="none" w:sz="0" w:space="0" w:color="auto"/>
              </w:divBdr>
              <w:divsChild>
                <w:div w:id="1171796133">
                  <w:marLeft w:val="0"/>
                  <w:marRight w:val="0"/>
                  <w:marTop w:val="0"/>
                  <w:marBottom w:val="0"/>
                  <w:divBdr>
                    <w:top w:val="single" w:sz="12" w:space="0" w:color="000000"/>
                    <w:left w:val="single" w:sz="12" w:space="0" w:color="000000"/>
                    <w:bottom w:val="single" w:sz="12" w:space="0" w:color="000000"/>
                    <w:right w:val="single" w:sz="12" w:space="0" w:color="000000"/>
                  </w:divBdr>
                </w:div>
                <w:div w:id="1067455878">
                  <w:marLeft w:val="0"/>
                  <w:marRight w:val="0"/>
                  <w:marTop w:val="0"/>
                  <w:marBottom w:val="0"/>
                  <w:divBdr>
                    <w:top w:val="none" w:sz="0" w:space="0" w:color="auto"/>
                    <w:left w:val="none" w:sz="0" w:space="0" w:color="auto"/>
                    <w:bottom w:val="none" w:sz="0" w:space="0" w:color="auto"/>
                    <w:right w:val="none" w:sz="0" w:space="0" w:color="auto"/>
                  </w:divBdr>
                </w:div>
              </w:divsChild>
            </w:div>
            <w:div w:id="1375889875">
              <w:marLeft w:val="0"/>
              <w:marRight w:val="0"/>
              <w:marTop w:val="0"/>
              <w:marBottom w:val="0"/>
              <w:divBdr>
                <w:top w:val="none" w:sz="0" w:space="0" w:color="auto"/>
                <w:left w:val="none" w:sz="0" w:space="0" w:color="auto"/>
                <w:bottom w:val="none" w:sz="0" w:space="0" w:color="auto"/>
                <w:right w:val="none" w:sz="0" w:space="0" w:color="auto"/>
              </w:divBdr>
            </w:div>
            <w:div w:id="328101818">
              <w:marLeft w:val="0"/>
              <w:marRight w:val="0"/>
              <w:marTop w:val="0"/>
              <w:marBottom w:val="0"/>
              <w:divBdr>
                <w:top w:val="none" w:sz="0" w:space="0" w:color="auto"/>
                <w:left w:val="none" w:sz="0" w:space="0" w:color="auto"/>
                <w:bottom w:val="none" w:sz="0" w:space="0" w:color="auto"/>
                <w:right w:val="none" w:sz="0" w:space="0" w:color="auto"/>
              </w:divBdr>
              <w:divsChild>
                <w:div w:id="17732806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0615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37441">
      <w:bodyDiv w:val="1"/>
      <w:marLeft w:val="0"/>
      <w:marRight w:val="0"/>
      <w:marTop w:val="24"/>
      <w:marBottom w:val="600"/>
      <w:divBdr>
        <w:top w:val="none" w:sz="0" w:space="0" w:color="auto"/>
        <w:left w:val="none" w:sz="0" w:space="0" w:color="auto"/>
        <w:bottom w:val="none" w:sz="0" w:space="0" w:color="auto"/>
        <w:right w:val="none" w:sz="0" w:space="0" w:color="auto"/>
      </w:divBdr>
      <w:divsChild>
        <w:div w:id="1686055067">
          <w:marLeft w:val="0"/>
          <w:marRight w:val="0"/>
          <w:marTop w:val="0"/>
          <w:marBottom w:val="0"/>
          <w:divBdr>
            <w:top w:val="none" w:sz="0" w:space="0" w:color="auto"/>
            <w:left w:val="none" w:sz="0" w:space="0" w:color="auto"/>
            <w:bottom w:val="none" w:sz="0" w:space="0" w:color="auto"/>
            <w:right w:val="none" w:sz="0" w:space="0" w:color="auto"/>
          </w:divBdr>
          <w:divsChild>
            <w:div w:id="1437602509">
              <w:marLeft w:val="0"/>
              <w:marRight w:val="0"/>
              <w:marTop w:val="0"/>
              <w:marBottom w:val="0"/>
              <w:divBdr>
                <w:top w:val="none" w:sz="0" w:space="0" w:color="auto"/>
                <w:left w:val="none" w:sz="0" w:space="0" w:color="auto"/>
                <w:bottom w:val="none" w:sz="0" w:space="0" w:color="auto"/>
                <w:right w:val="none" w:sz="0" w:space="0" w:color="auto"/>
              </w:divBdr>
            </w:div>
            <w:div w:id="1429346744">
              <w:marLeft w:val="0"/>
              <w:marRight w:val="0"/>
              <w:marTop w:val="0"/>
              <w:marBottom w:val="0"/>
              <w:divBdr>
                <w:top w:val="none" w:sz="0" w:space="0" w:color="auto"/>
                <w:left w:val="none" w:sz="0" w:space="0" w:color="auto"/>
                <w:bottom w:val="none" w:sz="0" w:space="0" w:color="auto"/>
                <w:right w:val="none" w:sz="0" w:space="0" w:color="auto"/>
              </w:divBdr>
            </w:div>
            <w:div w:id="892231810">
              <w:marLeft w:val="0"/>
              <w:marRight w:val="0"/>
              <w:marTop w:val="0"/>
              <w:marBottom w:val="0"/>
              <w:divBdr>
                <w:top w:val="none" w:sz="0" w:space="0" w:color="auto"/>
                <w:left w:val="none" w:sz="0" w:space="0" w:color="auto"/>
                <w:bottom w:val="none" w:sz="0" w:space="0" w:color="auto"/>
                <w:right w:val="none" w:sz="0" w:space="0" w:color="auto"/>
              </w:divBdr>
            </w:div>
            <w:div w:id="177358291">
              <w:marLeft w:val="0"/>
              <w:marRight w:val="0"/>
              <w:marTop w:val="0"/>
              <w:marBottom w:val="0"/>
              <w:divBdr>
                <w:top w:val="none" w:sz="0" w:space="0" w:color="auto"/>
                <w:left w:val="none" w:sz="0" w:space="0" w:color="auto"/>
                <w:bottom w:val="none" w:sz="0" w:space="0" w:color="auto"/>
                <w:right w:val="none" w:sz="0" w:space="0" w:color="auto"/>
              </w:divBdr>
            </w:div>
            <w:div w:id="1513569908">
              <w:marLeft w:val="0"/>
              <w:marRight w:val="0"/>
              <w:marTop w:val="0"/>
              <w:marBottom w:val="0"/>
              <w:divBdr>
                <w:top w:val="none" w:sz="0" w:space="0" w:color="auto"/>
                <w:left w:val="none" w:sz="0" w:space="0" w:color="auto"/>
                <w:bottom w:val="none" w:sz="0" w:space="0" w:color="auto"/>
                <w:right w:val="none" w:sz="0" w:space="0" w:color="auto"/>
              </w:divBdr>
            </w:div>
            <w:div w:id="212498401">
              <w:marLeft w:val="0"/>
              <w:marRight w:val="0"/>
              <w:marTop w:val="0"/>
              <w:marBottom w:val="0"/>
              <w:divBdr>
                <w:top w:val="none" w:sz="0" w:space="0" w:color="auto"/>
                <w:left w:val="none" w:sz="0" w:space="0" w:color="auto"/>
                <w:bottom w:val="none" w:sz="0" w:space="0" w:color="auto"/>
                <w:right w:val="none" w:sz="0" w:space="0" w:color="auto"/>
              </w:divBdr>
            </w:div>
            <w:div w:id="476607976">
              <w:marLeft w:val="0"/>
              <w:marRight w:val="0"/>
              <w:marTop w:val="0"/>
              <w:marBottom w:val="0"/>
              <w:divBdr>
                <w:top w:val="none" w:sz="0" w:space="0" w:color="auto"/>
                <w:left w:val="none" w:sz="0" w:space="0" w:color="auto"/>
                <w:bottom w:val="none" w:sz="0" w:space="0" w:color="auto"/>
                <w:right w:val="none" w:sz="0" w:space="0" w:color="auto"/>
              </w:divBdr>
            </w:div>
            <w:div w:id="1735354080">
              <w:marLeft w:val="0"/>
              <w:marRight w:val="0"/>
              <w:marTop w:val="0"/>
              <w:marBottom w:val="0"/>
              <w:divBdr>
                <w:top w:val="none" w:sz="0" w:space="0" w:color="auto"/>
                <w:left w:val="none" w:sz="0" w:space="0" w:color="auto"/>
                <w:bottom w:val="none" w:sz="0" w:space="0" w:color="auto"/>
                <w:right w:val="none" w:sz="0" w:space="0" w:color="auto"/>
              </w:divBdr>
            </w:div>
            <w:div w:id="1023357859">
              <w:marLeft w:val="0"/>
              <w:marRight w:val="0"/>
              <w:marTop w:val="0"/>
              <w:marBottom w:val="0"/>
              <w:divBdr>
                <w:top w:val="none" w:sz="0" w:space="0" w:color="auto"/>
                <w:left w:val="none" w:sz="0" w:space="0" w:color="auto"/>
                <w:bottom w:val="none" w:sz="0" w:space="0" w:color="auto"/>
                <w:right w:val="none" w:sz="0" w:space="0" w:color="auto"/>
              </w:divBdr>
            </w:div>
            <w:div w:id="2111006457">
              <w:marLeft w:val="0"/>
              <w:marRight w:val="0"/>
              <w:marTop w:val="0"/>
              <w:marBottom w:val="0"/>
              <w:divBdr>
                <w:top w:val="none" w:sz="0" w:space="0" w:color="auto"/>
                <w:left w:val="none" w:sz="0" w:space="0" w:color="auto"/>
                <w:bottom w:val="none" w:sz="0" w:space="0" w:color="auto"/>
                <w:right w:val="none" w:sz="0" w:space="0" w:color="auto"/>
              </w:divBdr>
            </w:div>
            <w:div w:id="203451176">
              <w:marLeft w:val="0"/>
              <w:marRight w:val="0"/>
              <w:marTop w:val="0"/>
              <w:marBottom w:val="0"/>
              <w:divBdr>
                <w:top w:val="none" w:sz="0" w:space="0" w:color="auto"/>
                <w:left w:val="none" w:sz="0" w:space="0" w:color="auto"/>
                <w:bottom w:val="none" w:sz="0" w:space="0" w:color="auto"/>
                <w:right w:val="none" w:sz="0" w:space="0" w:color="auto"/>
              </w:divBdr>
            </w:div>
            <w:div w:id="324670366">
              <w:marLeft w:val="0"/>
              <w:marRight w:val="0"/>
              <w:marTop w:val="0"/>
              <w:marBottom w:val="0"/>
              <w:divBdr>
                <w:top w:val="none" w:sz="0" w:space="0" w:color="auto"/>
                <w:left w:val="none" w:sz="0" w:space="0" w:color="auto"/>
                <w:bottom w:val="none" w:sz="0" w:space="0" w:color="auto"/>
                <w:right w:val="none" w:sz="0" w:space="0" w:color="auto"/>
              </w:divBdr>
            </w:div>
            <w:div w:id="267273103">
              <w:marLeft w:val="0"/>
              <w:marRight w:val="0"/>
              <w:marTop w:val="0"/>
              <w:marBottom w:val="0"/>
              <w:divBdr>
                <w:top w:val="none" w:sz="0" w:space="0" w:color="auto"/>
                <w:left w:val="none" w:sz="0" w:space="0" w:color="auto"/>
                <w:bottom w:val="none" w:sz="0" w:space="0" w:color="auto"/>
                <w:right w:val="none" w:sz="0" w:space="0" w:color="auto"/>
              </w:divBdr>
            </w:div>
            <w:div w:id="1640842977">
              <w:marLeft w:val="0"/>
              <w:marRight w:val="0"/>
              <w:marTop w:val="0"/>
              <w:marBottom w:val="0"/>
              <w:divBdr>
                <w:top w:val="none" w:sz="0" w:space="0" w:color="auto"/>
                <w:left w:val="none" w:sz="0" w:space="0" w:color="auto"/>
                <w:bottom w:val="none" w:sz="0" w:space="0" w:color="auto"/>
                <w:right w:val="none" w:sz="0" w:space="0" w:color="auto"/>
              </w:divBdr>
            </w:div>
            <w:div w:id="1156799949">
              <w:marLeft w:val="0"/>
              <w:marRight w:val="0"/>
              <w:marTop w:val="0"/>
              <w:marBottom w:val="0"/>
              <w:divBdr>
                <w:top w:val="none" w:sz="0" w:space="0" w:color="auto"/>
                <w:left w:val="none" w:sz="0" w:space="0" w:color="auto"/>
                <w:bottom w:val="none" w:sz="0" w:space="0" w:color="auto"/>
                <w:right w:val="none" w:sz="0" w:space="0" w:color="auto"/>
              </w:divBdr>
            </w:div>
            <w:div w:id="582691226">
              <w:marLeft w:val="0"/>
              <w:marRight w:val="0"/>
              <w:marTop w:val="0"/>
              <w:marBottom w:val="0"/>
              <w:divBdr>
                <w:top w:val="none" w:sz="0" w:space="0" w:color="auto"/>
                <w:left w:val="none" w:sz="0" w:space="0" w:color="auto"/>
                <w:bottom w:val="none" w:sz="0" w:space="0" w:color="auto"/>
                <w:right w:val="none" w:sz="0" w:space="0" w:color="auto"/>
              </w:divBdr>
            </w:div>
            <w:div w:id="357317999">
              <w:marLeft w:val="0"/>
              <w:marRight w:val="0"/>
              <w:marTop w:val="0"/>
              <w:marBottom w:val="0"/>
              <w:divBdr>
                <w:top w:val="none" w:sz="0" w:space="0" w:color="auto"/>
                <w:left w:val="none" w:sz="0" w:space="0" w:color="auto"/>
                <w:bottom w:val="none" w:sz="0" w:space="0" w:color="auto"/>
                <w:right w:val="none" w:sz="0" w:space="0" w:color="auto"/>
              </w:divBdr>
            </w:div>
            <w:div w:id="1969701168">
              <w:marLeft w:val="0"/>
              <w:marRight w:val="0"/>
              <w:marTop w:val="0"/>
              <w:marBottom w:val="0"/>
              <w:divBdr>
                <w:top w:val="none" w:sz="0" w:space="0" w:color="auto"/>
                <w:left w:val="none" w:sz="0" w:space="0" w:color="auto"/>
                <w:bottom w:val="none" w:sz="0" w:space="0" w:color="auto"/>
                <w:right w:val="none" w:sz="0" w:space="0" w:color="auto"/>
              </w:divBdr>
            </w:div>
            <w:div w:id="1716351263">
              <w:marLeft w:val="0"/>
              <w:marRight w:val="0"/>
              <w:marTop w:val="0"/>
              <w:marBottom w:val="0"/>
              <w:divBdr>
                <w:top w:val="none" w:sz="0" w:space="0" w:color="auto"/>
                <w:left w:val="none" w:sz="0" w:space="0" w:color="auto"/>
                <w:bottom w:val="none" w:sz="0" w:space="0" w:color="auto"/>
                <w:right w:val="none" w:sz="0" w:space="0" w:color="auto"/>
              </w:divBdr>
            </w:div>
            <w:div w:id="1606694701">
              <w:marLeft w:val="0"/>
              <w:marRight w:val="0"/>
              <w:marTop w:val="0"/>
              <w:marBottom w:val="0"/>
              <w:divBdr>
                <w:top w:val="none" w:sz="0" w:space="0" w:color="auto"/>
                <w:left w:val="none" w:sz="0" w:space="0" w:color="auto"/>
                <w:bottom w:val="none" w:sz="0" w:space="0" w:color="auto"/>
                <w:right w:val="none" w:sz="0" w:space="0" w:color="auto"/>
              </w:divBdr>
            </w:div>
            <w:div w:id="1676764051">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477499819">
              <w:marLeft w:val="0"/>
              <w:marRight w:val="0"/>
              <w:marTop w:val="0"/>
              <w:marBottom w:val="0"/>
              <w:divBdr>
                <w:top w:val="none" w:sz="0" w:space="0" w:color="auto"/>
                <w:left w:val="none" w:sz="0" w:space="0" w:color="auto"/>
                <w:bottom w:val="none" w:sz="0" w:space="0" w:color="auto"/>
                <w:right w:val="none" w:sz="0" w:space="0" w:color="auto"/>
              </w:divBdr>
            </w:div>
            <w:div w:id="1465392049">
              <w:marLeft w:val="0"/>
              <w:marRight w:val="0"/>
              <w:marTop w:val="0"/>
              <w:marBottom w:val="0"/>
              <w:divBdr>
                <w:top w:val="none" w:sz="0" w:space="0" w:color="auto"/>
                <w:left w:val="none" w:sz="0" w:space="0" w:color="auto"/>
                <w:bottom w:val="none" w:sz="0" w:space="0" w:color="auto"/>
                <w:right w:val="none" w:sz="0" w:space="0" w:color="auto"/>
              </w:divBdr>
            </w:div>
            <w:div w:id="1827555362">
              <w:marLeft w:val="0"/>
              <w:marRight w:val="0"/>
              <w:marTop w:val="0"/>
              <w:marBottom w:val="0"/>
              <w:divBdr>
                <w:top w:val="none" w:sz="0" w:space="0" w:color="auto"/>
                <w:left w:val="none" w:sz="0" w:space="0" w:color="auto"/>
                <w:bottom w:val="none" w:sz="0" w:space="0" w:color="auto"/>
                <w:right w:val="none" w:sz="0" w:space="0" w:color="auto"/>
              </w:divBdr>
            </w:div>
            <w:div w:id="1715226547">
              <w:marLeft w:val="0"/>
              <w:marRight w:val="0"/>
              <w:marTop w:val="0"/>
              <w:marBottom w:val="0"/>
              <w:divBdr>
                <w:top w:val="none" w:sz="0" w:space="0" w:color="auto"/>
                <w:left w:val="none" w:sz="0" w:space="0" w:color="auto"/>
                <w:bottom w:val="none" w:sz="0" w:space="0" w:color="auto"/>
                <w:right w:val="none" w:sz="0" w:space="0" w:color="auto"/>
              </w:divBdr>
            </w:div>
            <w:div w:id="1247037186">
              <w:marLeft w:val="0"/>
              <w:marRight w:val="0"/>
              <w:marTop w:val="0"/>
              <w:marBottom w:val="0"/>
              <w:divBdr>
                <w:top w:val="none" w:sz="0" w:space="0" w:color="auto"/>
                <w:left w:val="none" w:sz="0" w:space="0" w:color="auto"/>
                <w:bottom w:val="none" w:sz="0" w:space="0" w:color="auto"/>
                <w:right w:val="none" w:sz="0" w:space="0" w:color="auto"/>
              </w:divBdr>
            </w:div>
            <w:div w:id="1207834851">
              <w:marLeft w:val="0"/>
              <w:marRight w:val="0"/>
              <w:marTop w:val="0"/>
              <w:marBottom w:val="0"/>
              <w:divBdr>
                <w:top w:val="none" w:sz="0" w:space="0" w:color="auto"/>
                <w:left w:val="none" w:sz="0" w:space="0" w:color="auto"/>
                <w:bottom w:val="none" w:sz="0" w:space="0" w:color="auto"/>
                <w:right w:val="none" w:sz="0" w:space="0" w:color="auto"/>
              </w:divBdr>
            </w:div>
            <w:div w:id="1582330100">
              <w:marLeft w:val="0"/>
              <w:marRight w:val="0"/>
              <w:marTop w:val="0"/>
              <w:marBottom w:val="0"/>
              <w:divBdr>
                <w:top w:val="none" w:sz="0" w:space="0" w:color="auto"/>
                <w:left w:val="none" w:sz="0" w:space="0" w:color="auto"/>
                <w:bottom w:val="none" w:sz="0" w:space="0" w:color="auto"/>
                <w:right w:val="none" w:sz="0" w:space="0" w:color="auto"/>
              </w:divBdr>
            </w:div>
            <w:div w:id="2081174717">
              <w:marLeft w:val="0"/>
              <w:marRight w:val="0"/>
              <w:marTop w:val="0"/>
              <w:marBottom w:val="0"/>
              <w:divBdr>
                <w:top w:val="none" w:sz="0" w:space="0" w:color="auto"/>
                <w:left w:val="none" w:sz="0" w:space="0" w:color="auto"/>
                <w:bottom w:val="none" w:sz="0" w:space="0" w:color="auto"/>
                <w:right w:val="none" w:sz="0" w:space="0" w:color="auto"/>
              </w:divBdr>
            </w:div>
            <w:div w:id="1213007414">
              <w:marLeft w:val="0"/>
              <w:marRight w:val="0"/>
              <w:marTop w:val="0"/>
              <w:marBottom w:val="0"/>
              <w:divBdr>
                <w:top w:val="none" w:sz="0" w:space="0" w:color="auto"/>
                <w:left w:val="none" w:sz="0" w:space="0" w:color="auto"/>
                <w:bottom w:val="none" w:sz="0" w:space="0" w:color="auto"/>
                <w:right w:val="none" w:sz="0" w:space="0" w:color="auto"/>
              </w:divBdr>
            </w:div>
            <w:div w:id="1276017176">
              <w:marLeft w:val="0"/>
              <w:marRight w:val="0"/>
              <w:marTop w:val="0"/>
              <w:marBottom w:val="0"/>
              <w:divBdr>
                <w:top w:val="none" w:sz="0" w:space="0" w:color="auto"/>
                <w:left w:val="none" w:sz="0" w:space="0" w:color="auto"/>
                <w:bottom w:val="none" w:sz="0" w:space="0" w:color="auto"/>
                <w:right w:val="none" w:sz="0" w:space="0" w:color="auto"/>
              </w:divBdr>
            </w:div>
            <w:div w:id="130560303">
              <w:marLeft w:val="0"/>
              <w:marRight w:val="0"/>
              <w:marTop w:val="0"/>
              <w:marBottom w:val="0"/>
              <w:divBdr>
                <w:top w:val="none" w:sz="0" w:space="0" w:color="auto"/>
                <w:left w:val="none" w:sz="0" w:space="0" w:color="auto"/>
                <w:bottom w:val="none" w:sz="0" w:space="0" w:color="auto"/>
                <w:right w:val="none" w:sz="0" w:space="0" w:color="auto"/>
              </w:divBdr>
            </w:div>
            <w:div w:id="1863396745">
              <w:marLeft w:val="0"/>
              <w:marRight w:val="0"/>
              <w:marTop w:val="0"/>
              <w:marBottom w:val="0"/>
              <w:divBdr>
                <w:top w:val="none" w:sz="0" w:space="0" w:color="auto"/>
                <w:left w:val="none" w:sz="0" w:space="0" w:color="auto"/>
                <w:bottom w:val="none" w:sz="0" w:space="0" w:color="auto"/>
                <w:right w:val="none" w:sz="0" w:space="0" w:color="auto"/>
              </w:divBdr>
            </w:div>
            <w:div w:id="1909072341">
              <w:marLeft w:val="0"/>
              <w:marRight w:val="0"/>
              <w:marTop w:val="0"/>
              <w:marBottom w:val="0"/>
              <w:divBdr>
                <w:top w:val="none" w:sz="0" w:space="0" w:color="auto"/>
                <w:left w:val="none" w:sz="0" w:space="0" w:color="auto"/>
                <w:bottom w:val="none" w:sz="0" w:space="0" w:color="auto"/>
                <w:right w:val="none" w:sz="0" w:space="0" w:color="auto"/>
              </w:divBdr>
            </w:div>
            <w:div w:id="1793983606">
              <w:marLeft w:val="0"/>
              <w:marRight w:val="0"/>
              <w:marTop w:val="0"/>
              <w:marBottom w:val="0"/>
              <w:divBdr>
                <w:top w:val="none" w:sz="0" w:space="0" w:color="auto"/>
                <w:left w:val="none" w:sz="0" w:space="0" w:color="auto"/>
                <w:bottom w:val="none" w:sz="0" w:space="0" w:color="auto"/>
                <w:right w:val="none" w:sz="0" w:space="0" w:color="auto"/>
              </w:divBdr>
            </w:div>
            <w:div w:id="918640940">
              <w:marLeft w:val="0"/>
              <w:marRight w:val="0"/>
              <w:marTop w:val="0"/>
              <w:marBottom w:val="0"/>
              <w:divBdr>
                <w:top w:val="none" w:sz="0" w:space="0" w:color="auto"/>
                <w:left w:val="none" w:sz="0" w:space="0" w:color="auto"/>
                <w:bottom w:val="none" w:sz="0" w:space="0" w:color="auto"/>
                <w:right w:val="none" w:sz="0" w:space="0" w:color="auto"/>
              </w:divBdr>
            </w:div>
            <w:div w:id="2120298037">
              <w:marLeft w:val="0"/>
              <w:marRight w:val="0"/>
              <w:marTop w:val="0"/>
              <w:marBottom w:val="0"/>
              <w:divBdr>
                <w:top w:val="none" w:sz="0" w:space="0" w:color="auto"/>
                <w:left w:val="none" w:sz="0" w:space="0" w:color="auto"/>
                <w:bottom w:val="none" w:sz="0" w:space="0" w:color="auto"/>
                <w:right w:val="none" w:sz="0" w:space="0" w:color="auto"/>
              </w:divBdr>
            </w:div>
            <w:div w:id="1091511328">
              <w:marLeft w:val="0"/>
              <w:marRight w:val="0"/>
              <w:marTop w:val="0"/>
              <w:marBottom w:val="0"/>
              <w:divBdr>
                <w:top w:val="none" w:sz="0" w:space="0" w:color="auto"/>
                <w:left w:val="none" w:sz="0" w:space="0" w:color="auto"/>
                <w:bottom w:val="none" w:sz="0" w:space="0" w:color="auto"/>
                <w:right w:val="none" w:sz="0" w:space="0" w:color="auto"/>
              </w:divBdr>
            </w:div>
            <w:div w:id="1863516181">
              <w:marLeft w:val="0"/>
              <w:marRight w:val="0"/>
              <w:marTop w:val="0"/>
              <w:marBottom w:val="0"/>
              <w:divBdr>
                <w:top w:val="none" w:sz="0" w:space="0" w:color="auto"/>
                <w:left w:val="none" w:sz="0" w:space="0" w:color="auto"/>
                <w:bottom w:val="none" w:sz="0" w:space="0" w:color="auto"/>
                <w:right w:val="none" w:sz="0" w:space="0" w:color="auto"/>
              </w:divBdr>
            </w:div>
            <w:div w:id="129908130">
              <w:marLeft w:val="0"/>
              <w:marRight w:val="0"/>
              <w:marTop w:val="0"/>
              <w:marBottom w:val="0"/>
              <w:divBdr>
                <w:top w:val="none" w:sz="0" w:space="0" w:color="auto"/>
                <w:left w:val="none" w:sz="0" w:space="0" w:color="auto"/>
                <w:bottom w:val="none" w:sz="0" w:space="0" w:color="auto"/>
                <w:right w:val="none" w:sz="0" w:space="0" w:color="auto"/>
              </w:divBdr>
              <w:divsChild>
                <w:div w:id="762530198">
                  <w:marLeft w:val="0"/>
                  <w:marRight w:val="0"/>
                  <w:marTop w:val="0"/>
                  <w:marBottom w:val="0"/>
                  <w:divBdr>
                    <w:top w:val="none" w:sz="0" w:space="0" w:color="auto"/>
                    <w:left w:val="none" w:sz="0" w:space="0" w:color="auto"/>
                    <w:bottom w:val="none" w:sz="0" w:space="0" w:color="auto"/>
                    <w:right w:val="none" w:sz="0" w:space="0" w:color="auto"/>
                  </w:divBdr>
                </w:div>
                <w:div w:id="7856626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1209573">
              <w:marLeft w:val="0"/>
              <w:marRight w:val="0"/>
              <w:marTop w:val="0"/>
              <w:marBottom w:val="0"/>
              <w:divBdr>
                <w:top w:val="none" w:sz="0" w:space="0" w:color="auto"/>
                <w:left w:val="none" w:sz="0" w:space="0" w:color="auto"/>
                <w:bottom w:val="none" w:sz="0" w:space="0" w:color="auto"/>
                <w:right w:val="none" w:sz="0" w:space="0" w:color="auto"/>
              </w:divBdr>
            </w:div>
            <w:div w:id="100270467">
              <w:marLeft w:val="0"/>
              <w:marRight w:val="0"/>
              <w:marTop w:val="0"/>
              <w:marBottom w:val="0"/>
              <w:divBdr>
                <w:top w:val="none" w:sz="0" w:space="0" w:color="auto"/>
                <w:left w:val="none" w:sz="0" w:space="0" w:color="auto"/>
                <w:bottom w:val="none" w:sz="0" w:space="0" w:color="auto"/>
                <w:right w:val="none" w:sz="0" w:space="0" w:color="auto"/>
              </w:divBdr>
              <w:divsChild>
                <w:div w:id="872613671">
                  <w:marLeft w:val="0"/>
                  <w:marRight w:val="0"/>
                  <w:marTop w:val="0"/>
                  <w:marBottom w:val="0"/>
                  <w:divBdr>
                    <w:top w:val="none" w:sz="0" w:space="0" w:color="auto"/>
                    <w:left w:val="none" w:sz="0" w:space="0" w:color="auto"/>
                    <w:bottom w:val="none" w:sz="0" w:space="0" w:color="auto"/>
                    <w:right w:val="none" w:sz="0" w:space="0" w:color="auto"/>
                  </w:divBdr>
                </w:div>
                <w:div w:id="15943126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2825695">
              <w:marLeft w:val="0"/>
              <w:marRight w:val="0"/>
              <w:marTop w:val="0"/>
              <w:marBottom w:val="0"/>
              <w:divBdr>
                <w:top w:val="none" w:sz="0" w:space="0" w:color="auto"/>
                <w:left w:val="none" w:sz="0" w:space="0" w:color="auto"/>
                <w:bottom w:val="none" w:sz="0" w:space="0" w:color="auto"/>
                <w:right w:val="none" w:sz="0" w:space="0" w:color="auto"/>
              </w:divBdr>
            </w:div>
            <w:div w:id="1889338156">
              <w:marLeft w:val="0"/>
              <w:marRight w:val="0"/>
              <w:marTop w:val="0"/>
              <w:marBottom w:val="0"/>
              <w:divBdr>
                <w:top w:val="none" w:sz="0" w:space="0" w:color="auto"/>
                <w:left w:val="none" w:sz="0" w:space="0" w:color="auto"/>
                <w:bottom w:val="none" w:sz="0" w:space="0" w:color="auto"/>
                <w:right w:val="none" w:sz="0" w:space="0" w:color="auto"/>
              </w:divBdr>
              <w:divsChild>
                <w:div w:id="1128276495">
                  <w:marLeft w:val="0"/>
                  <w:marRight w:val="0"/>
                  <w:marTop w:val="0"/>
                  <w:marBottom w:val="0"/>
                  <w:divBdr>
                    <w:top w:val="none" w:sz="0" w:space="0" w:color="auto"/>
                    <w:left w:val="none" w:sz="0" w:space="0" w:color="auto"/>
                    <w:bottom w:val="none" w:sz="0" w:space="0" w:color="auto"/>
                    <w:right w:val="none" w:sz="0" w:space="0" w:color="auto"/>
                  </w:divBdr>
                </w:div>
                <w:div w:id="997272481">
                  <w:marLeft w:val="0"/>
                  <w:marRight w:val="0"/>
                  <w:marTop w:val="0"/>
                  <w:marBottom w:val="0"/>
                  <w:divBdr>
                    <w:top w:val="single" w:sz="12" w:space="0" w:color="000000"/>
                    <w:left w:val="single" w:sz="12" w:space="0" w:color="000000"/>
                    <w:bottom w:val="single" w:sz="12" w:space="0" w:color="000000"/>
                    <w:right w:val="single" w:sz="12" w:space="0" w:color="000000"/>
                  </w:divBdr>
                </w:div>
                <w:div w:id="1355425581">
                  <w:marLeft w:val="0"/>
                  <w:marRight w:val="0"/>
                  <w:marTop w:val="0"/>
                  <w:marBottom w:val="0"/>
                  <w:divBdr>
                    <w:top w:val="none" w:sz="0" w:space="0" w:color="auto"/>
                    <w:left w:val="none" w:sz="0" w:space="0" w:color="auto"/>
                    <w:bottom w:val="none" w:sz="0" w:space="0" w:color="auto"/>
                    <w:right w:val="none" w:sz="0" w:space="0" w:color="auto"/>
                  </w:divBdr>
                </w:div>
              </w:divsChild>
            </w:div>
            <w:div w:id="965817798">
              <w:marLeft w:val="0"/>
              <w:marRight w:val="0"/>
              <w:marTop w:val="0"/>
              <w:marBottom w:val="0"/>
              <w:divBdr>
                <w:top w:val="none" w:sz="0" w:space="0" w:color="auto"/>
                <w:left w:val="none" w:sz="0" w:space="0" w:color="auto"/>
                <w:bottom w:val="none" w:sz="0" w:space="0" w:color="auto"/>
                <w:right w:val="none" w:sz="0" w:space="0" w:color="auto"/>
              </w:divBdr>
            </w:div>
            <w:div w:id="2108190953">
              <w:marLeft w:val="0"/>
              <w:marRight w:val="0"/>
              <w:marTop w:val="0"/>
              <w:marBottom w:val="0"/>
              <w:divBdr>
                <w:top w:val="none" w:sz="0" w:space="0" w:color="auto"/>
                <w:left w:val="none" w:sz="0" w:space="0" w:color="auto"/>
                <w:bottom w:val="none" w:sz="0" w:space="0" w:color="auto"/>
                <w:right w:val="none" w:sz="0" w:space="0" w:color="auto"/>
              </w:divBdr>
              <w:divsChild>
                <w:div w:id="116143718">
                  <w:marLeft w:val="0"/>
                  <w:marRight w:val="0"/>
                  <w:marTop w:val="0"/>
                  <w:marBottom w:val="0"/>
                  <w:divBdr>
                    <w:top w:val="none" w:sz="0" w:space="0" w:color="auto"/>
                    <w:left w:val="none" w:sz="0" w:space="0" w:color="auto"/>
                    <w:bottom w:val="none" w:sz="0" w:space="0" w:color="auto"/>
                    <w:right w:val="none" w:sz="0" w:space="0" w:color="auto"/>
                  </w:divBdr>
                </w:div>
                <w:div w:id="1880361083">
                  <w:marLeft w:val="0"/>
                  <w:marRight w:val="0"/>
                  <w:marTop w:val="0"/>
                  <w:marBottom w:val="0"/>
                  <w:divBdr>
                    <w:top w:val="single" w:sz="12" w:space="0" w:color="000000"/>
                    <w:left w:val="single" w:sz="12" w:space="0" w:color="000000"/>
                    <w:bottom w:val="single" w:sz="12" w:space="0" w:color="000000"/>
                    <w:right w:val="single" w:sz="12" w:space="0" w:color="000000"/>
                  </w:divBdr>
                </w:div>
                <w:div w:id="1849826442">
                  <w:marLeft w:val="0"/>
                  <w:marRight w:val="0"/>
                  <w:marTop w:val="0"/>
                  <w:marBottom w:val="0"/>
                  <w:divBdr>
                    <w:top w:val="none" w:sz="0" w:space="0" w:color="auto"/>
                    <w:left w:val="none" w:sz="0" w:space="0" w:color="auto"/>
                    <w:bottom w:val="none" w:sz="0" w:space="0" w:color="auto"/>
                    <w:right w:val="none" w:sz="0" w:space="0" w:color="auto"/>
                  </w:divBdr>
                </w:div>
              </w:divsChild>
            </w:div>
            <w:div w:id="937719210">
              <w:marLeft w:val="0"/>
              <w:marRight w:val="0"/>
              <w:marTop w:val="0"/>
              <w:marBottom w:val="0"/>
              <w:divBdr>
                <w:top w:val="none" w:sz="0" w:space="0" w:color="auto"/>
                <w:left w:val="none" w:sz="0" w:space="0" w:color="auto"/>
                <w:bottom w:val="none" w:sz="0" w:space="0" w:color="auto"/>
                <w:right w:val="none" w:sz="0" w:space="0" w:color="auto"/>
              </w:divBdr>
            </w:div>
            <w:div w:id="222714938">
              <w:marLeft w:val="0"/>
              <w:marRight w:val="0"/>
              <w:marTop w:val="0"/>
              <w:marBottom w:val="0"/>
              <w:divBdr>
                <w:top w:val="none" w:sz="0" w:space="0" w:color="auto"/>
                <w:left w:val="none" w:sz="0" w:space="0" w:color="auto"/>
                <w:bottom w:val="none" w:sz="0" w:space="0" w:color="auto"/>
                <w:right w:val="none" w:sz="0" w:space="0" w:color="auto"/>
              </w:divBdr>
              <w:divsChild>
                <w:div w:id="834956507">
                  <w:marLeft w:val="0"/>
                  <w:marRight w:val="0"/>
                  <w:marTop w:val="0"/>
                  <w:marBottom w:val="0"/>
                  <w:divBdr>
                    <w:top w:val="none" w:sz="0" w:space="0" w:color="auto"/>
                    <w:left w:val="none" w:sz="0" w:space="0" w:color="auto"/>
                    <w:bottom w:val="none" w:sz="0" w:space="0" w:color="auto"/>
                    <w:right w:val="none" w:sz="0" w:space="0" w:color="auto"/>
                  </w:divBdr>
                </w:div>
                <w:div w:id="10662949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0187374">
              <w:marLeft w:val="0"/>
              <w:marRight w:val="0"/>
              <w:marTop w:val="0"/>
              <w:marBottom w:val="0"/>
              <w:divBdr>
                <w:top w:val="none" w:sz="0" w:space="0" w:color="auto"/>
                <w:left w:val="none" w:sz="0" w:space="0" w:color="auto"/>
                <w:bottom w:val="none" w:sz="0" w:space="0" w:color="auto"/>
                <w:right w:val="none" w:sz="0" w:space="0" w:color="auto"/>
              </w:divBdr>
            </w:div>
            <w:div w:id="1483621336">
              <w:marLeft w:val="0"/>
              <w:marRight w:val="0"/>
              <w:marTop w:val="0"/>
              <w:marBottom w:val="0"/>
              <w:divBdr>
                <w:top w:val="none" w:sz="0" w:space="0" w:color="auto"/>
                <w:left w:val="none" w:sz="0" w:space="0" w:color="auto"/>
                <w:bottom w:val="none" w:sz="0" w:space="0" w:color="auto"/>
                <w:right w:val="none" w:sz="0" w:space="0" w:color="auto"/>
              </w:divBdr>
              <w:divsChild>
                <w:div w:id="242885228">
                  <w:marLeft w:val="0"/>
                  <w:marRight w:val="0"/>
                  <w:marTop w:val="0"/>
                  <w:marBottom w:val="0"/>
                  <w:divBdr>
                    <w:top w:val="none" w:sz="0" w:space="0" w:color="auto"/>
                    <w:left w:val="none" w:sz="0" w:space="0" w:color="auto"/>
                    <w:bottom w:val="none" w:sz="0" w:space="0" w:color="auto"/>
                    <w:right w:val="none" w:sz="0" w:space="0" w:color="auto"/>
                  </w:divBdr>
                </w:div>
                <w:div w:id="746538465">
                  <w:marLeft w:val="0"/>
                  <w:marRight w:val="0"/>
                  <w:marTop w:val="0"/>
                  <w:marBottom w:val="0"/>
                  <w:divBdr>
                    <w:top w:val="single" w:sz="12" w:space="0" w:color="000000"/>
                    <w:left w:val="single" w:sz="12" w:space="0" w:color="000000"/>
                    <w:bottom w:val="single" w:sz="12" w:space="0" w:color="000000"/>
                    <w:right w:val="single" w:sz="12" w:space="0" w:color="000000"/>
                  </w:divBdr>
                </w:div>
                <w:div w:id="1484274257">
                  <w:marLeft w:val="0"/>
                  <w:marRight w:val="0"/>
                  <w:marTop w:val="0"/>
                  <w:marBottom w:val="0"/>
                  <w:divBdr>
                    <w:top w:val="none" w:sz="0" w:space="0" w:color="auto"/>
                    <w:left w:val="none" w:sz="0" w:space="0" w:color="auto"/>
                    <w:bottom w:val="none" w:sz="0" w:space="0" w:color="auto"/>
                    <w:right w:val="none" w:sz="0" w:space="0" w:color="auto"/>
                  </w:divBdr>
                </w:div>
              </w:divsChild>
            </w:div>
            <w:div w:id="1662615242">
              <w:marLeft w:val="0"/>
              <w:marRight w:val="0"/>
              <w:marTop w:val="0"/>
              <w:marBottom w:val="0"/>
              <w:divBdr>
                <w:top w:val="none" w:sz="0" w:space="0" w:color="auto"/>
                <w:left w:val="none" w:sz="0" w:space="0" w:color="auto"/>
                <w:bottom w:val="none" w:sz="0" w:space="0" w:color="auto"/>
                <w:right w:val="none" w:sz="0" w:space="0" w:color="auto"/>
              </w:divBdr>
            </w:div>
            <w:div w:id="1858420137">
              <w:marLeft w:val="0"/>
              <w:marRight w:val="0"/>
              <w:marTop w:val="0"/>
              <w:marBottom w:val="0"/>
              <w:divBdr>
                <w:top w:val="none" w:sz="0" w:space="0" w:color="auto"/>
                <w:left w:val="none" w:sz="0" w:space="0" w:color="auto"/>
                <w:bottom w:val="none" w:sz="0" w:space="0" w:color="auto"/>
                <w:right w:val="none" w:sz="0" w:space="0" w:color="auto"/>
              </w:divBdr>
              <w:divsChild>
                <w:div w:id="1191797824">
                  <w:marLeft w:val="0"/>
                  <w:marRight w:val="0"/>
                  <w:marTop w:val="0"/>
                  <w:marBottom w:val="0"/>
                  <w:divBdr>
                    <w:top w:val="none" w:sz="0" w:space="0" w:color="auto"/>
                    <w:left w:val="none" w:sz="0" w:space="0" w:color="auto"/>
                    <w:bottom w:val="none" w:sz="0" w:space="0" w:color="auto"/>
                    <w:right w:val="none" w:sz="0" w:space="0" w:color="auto"/>
                  </w:divBdr>
                </w:div>
                <w:div w:id="5365082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2033143">
              <w:marLeft w:val="0"/>
              <w:marRight w:val="0"/>
              <w:marTop w:val="0"/>
              <w:marBottom w:val="0"/>
              <w:divBdr>
                <w:top w:val="none" w:sz="0" w:space="0" w:color="auto"/>
                <w:left w:val="none" w:sz="0" w:space="0" w:color="auto"/>
                <w:bottom w:val="none" w:sz="0" w:space="0" w:color="auto"/>
                <w:right w:val="none" w:sz="0" w:space="0" w:color="auto"/>
              </w:divBdr>
            </w:div>
            <w:div w:id="339552704">
              <w:marLeft w:val="0"/>
              <w:marRight w:val="0"/>
              <w:marTop w:val="0"/>
              <w:marBottom w:val="0"/>
              <w:divBdr>
                <w:top w:val="none" w:sz="0" w:space="0" w:color="auto"/>
                <w:left w:val="none" w:sz="0" w:space="0" w:color="auto"/>
                <w:bottom w:val="none" w:sz="0" w:space="0" w:color="auto"/>
                <w:right w:val="none" w:sz="0" w:space="0" w:color="auto"/>
              </w:divBdr>
              <w:divsChild>
                <w:div w:id="666632535">
                  <w:marLeft w:val="0"/>
                  <w:marRight w:val="0"/>
                  <w:marTop w:val="0"/>
                  <w:marBottom w:val="0"/>
                  <w:divBdr>
                    <w:top w:val="none" w:sz="0" w:space="0" w:color="auto"/>
                    <w:left w:val="none" w:sz="0" w:space="0" w:color="auto"/>
                    <w:bottom w:val="none" w:sz="0" w:space="0" w:color="auto"/>
                    <w:right w:val="none" w:sz="0" w:space="0" w:color="auto"/>
                  </w:divBdr>
                </w:div>
                <w:div w:id="21464657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9637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308229">
      <w:bodyDiv w:val="1"/>
      <w:marLeft w:val="0"/>
      <w:marRight w:val="0"/>
      <w:marTop w:val="30"/>
      <w:marBottom w:val="750"/>
      <w:divBdr>
        <w:top w:val="none" w:sz="0" w:space="0" w:color="auto"/>
        <w:left w:val="none" w:sz="0" w:space="0" w:color="auto"/>
        <w:bottom w:val="none" w:sz="0" w:space="0" w:color="auto"/>
        <w:right w:val="none" w:sz="0" w:space="0" w:color="auto"/>
      </w:divBdr>
      <w:divsChild>
        <w:div w:id="456803693">
          <w:marLeft w:val="0"/>
          <w:marRight w:val="0"/>
          <w:marTop w:val="0"/>
          <w:marBottom w:val="0"/>
          <w:divBdr>
            <w:top w:val="none" w:sz="0" w:space="0" w:color="auto"/>
            <w:left w:val="none" w:sz="0" w:space="0" w:color="auto"/>
            <w:bottom w:val="none" w:sz="0" w:space="0" w:color="auto"/>
            <w:right w:val="none" w:sz="0" w:space="0" w:color="auto"/>
          </w:divBdr>
          <w:divsChild>
            <w:div w:id="1844320035">
              <w:marLeft w:val="0"/>
              <w:marRight w:val="0"/>
              <w:marTop w:val="0"/>
              <w:marBottom w:val="0"/>
              <w:divBdr>
                <w:top w:val="none" w:sz="0" w:space="0" w:color="auto"/>
                <w:left w:val="none" w:sz="0" w:space="0" w:color="auto"/>
                <w:bottom w:val="none" w:sz="0" w:space="0" w:color="auto"/>
                <w:right w:val="none" w:sz="0" w:space="0" w:color="auto"/>
              </w:divBdr>
            </w:div>
            <w:div w:id="867108637">
              <w:marLeft w:val="0"/>
              <w:marRight w:val="0"/>
              <w:marTop w:val="0"/>
              <w:marBottom w:val="0"/>
              <w:divBdr>
                <w:top w:val="none" w:sz="0" w:space="0" w:color="auto"/>
                <w:left w:val="none" w:sz="0" w:space="0" w:color="auto"/>
                <w:bottom w:val="none" w:sz="0" w:space="0" w:color="auto"/>
                <w:right w:val="none" w:sz="0" w:space="0" w:color="auto"/>
              </w:divBdr>
            </w:div>
            <w:div w:id="1967346319">
              <w:marLeft w:val="0"/>
              <w:marRight w:val="0"/>
              <w:marTop w:val="0"/>
              <w:marBottom w:val="0"/>
              <w:divBdr>
                <w:top w:val="none" w:sz="0" w:space="0" w:color="auto"/>
                <w:left w:val="none" w:sz="0" w:space="0" w:color="auto"/>
                <w:bottom w:val="none" w:sz="0" w:space="0" w:color="auto"/>
                <w:right w:val="none" w:sz="0" w:space="0" w:color="auto"/>
              </w:divBdr>
            </w:div>
            <w:div w:id="1602570641">
              <w:marLeft w:val="0"/>
              <w:marRight w:val="0"/>
              <w:marTop w:val="0"/>
              <w:marBottom w:val="0"/>
              <w:divBdr>
                <w:top w:val="none" w:sz="0" w:space="0" w:color="auto"/>
                <w:left w:val="none" w:sz="0" w:space="0" w:color="auto"/>
                <w:bottom w:val="none" w:sz="0" w:space="0" w:color="auto"/>
                <w:right w:val="none" w:sz="0" w:space="0" w:color="auto"/>
              </w:divBdr>
            </w:div>
            <w:div w:id="1872455392">
              <w:marLeft w:val="0"/>
              <w:marRight w:val="0"/>
              <w:marTop w:val="0"/>
              <w:marBottom w:val="0"/>
              <w:divBdr>
                <w:top w:val="none" w:sz="0" w:space="0" w:color="auto"/>
                <w:left w:val="none" w:sz="0" w:space="0" w:color="auto"/>
                <w:bottom w:val="none" w:sz="0" w:space="0" w:color="auto"/>
                <w:right w:val="none" w:sz="0" w:space="0" w:color="auto"/>
              </w:divBdr>
            </w:div>
            <w:div w:id="1369649970">
              <w:marLeft w:val="0"/>
              <w:marRight w:val="0"/>
              <w:marTop w:val="0"/>
              <w:marBottom w:val="0"/>
              <w:divBdr>
                <w:top w:val="none" w:sz="0" w:space="0" w:color="auto"/>
                <w:left w:val="none" w:sz="0" w:space="0" w:color="auto"/>
                <w:bottom w:val="none" w:sz="0" w:space="0" w:color="auto"/>
                <w:right w:val="none" w:sz="0" w:space="0" w:color="auto"/>
              </w:divBdr>
            </w:div>
            <w:div w:id="516307786">
              <w:marLeft w:val="0"/>
              <w:marRight w:val="0"/>
              <w:marTop w:val="0"/>
              <w:marBottom w:val="0"/>
              <w:divBdr>
                <w:top w:val="none" w:sz="0" w:space="0" w:color="auto"/>
                <w:left w:val="none" w:sz="0" w:space="0" w:color="auto"/>
                <w:bottom w:val="none" w:sz="0" w:space="0" w:color="auto"/>
                <w:right w:val="none" w:sz="0" w:space="0" w:color="auto"/>
              </w:divBdr>
            </w:div>
            <w:div w:id="302464652">
              <w:marLeft w:val="0"/>
              <w:marRight w:val="0"/>
              <w:marTop w:val="0"/>
              <w:marBottom w:val="0"/>
              <w:divBdr>
                <w:top w:val="none" w:sz="0" w:space="0" w:color="auto"/>
                <w:left w:val="none" w:sz="0" w:space="0" w:color="auto"/>
                <w:bottom w:val="none" w:sz="0" w:space="0" w:color="auto"/>
                <w:right w:val="none" w:sz="0" w:space="0" w:color="auto"/>
              </w:divBdr>
            </w:div>
            <w:div w:id="422068295">
              <w:marLeft w:val="0"/>
              <w:marRight w:val="0"/>
              <w:marTop w:val="0"/>
              <w:marBottom w:val="0"/>
              <w:divBdr>
                <w:top w:val="none" w:sz="0" w:space="0" w:color="auto"/>
                <w:left w:val="none" w:sz="0" w:space="0" w:color="auto"/>
                <w:bottom w:val="none" w:sz="0" w:space="0" w:color="auto"/>
                <w:right w:val="none" w:sz="0" w:space="0" w:color="auto"/>
              </w:divBdr>
            </w:div>
            <w:div w:id="448161477">
              <w:marLeft w:val="0"/>
              <w:marRight w:val="0"/>
              <w:marTop w:val="0"/>
              <w:marBottom w:val="0"/>
              <w:divBdr>
                <w:top w:val="none" w:sz="0" w:space="0" w:color="auto"/>
                <w:left w:val="none" w:sz="0" w:space="0" w:color="auto"/>
                <w:bottom w:val="none" w:sz="0" w:space="0" w:color="auto"/>
                <w:right w:val="none" w:sz="0" w:space="0" w:color="auto"/>
              </w:divBdr>
              <w:divsChild>
                <w:div w:id="184577870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67966216">
              <w:marLeft w:val="0"/>
              <w:marRight w:val="0"/>
              <w:marTop w:val="0"/>
              <w:marBottom w:val="0"/>
              <w:divBdr>
                <w:top w:val="none" w:sz="0" w:space="0" w:color="auto"/>
                <w:left w:val="none" w:sz="0" w:space="0" w:color="auto"/>
                <w:bottom w:val="none" w:sz="0" w:space="0" w:color="auto"/>
                <w:right w:val="none" w:sz="0" w:space="0" w:color="auto"/>
              </w:divBdr>
            </w:div>
            <w:div w:id="809051366">
              <w:marLeft w:val="0"/>
              <w:marRight w:val="0"/>
              <w:marTop w:val="0"/>
              <w:marBottom w:val="0"/>
              <w:divBdr>
                <w:top w:val="none" w:sz="0" w:space="0" w:color="auto"/>
                <w:left w:val="none" w:sz="0" w:space="0" w:color="auto"/>
                <w:bottom w:val="none" w:sz="0" w:space="0" w:color="auto"/>
                <w:right w:val="none" w:sz="0" w:space="0" w:color="auto"/>
              </w:divBdr>
              <w:divsChild>
                <w:div w:id="1305041711">
                  <w:marLeft w:val="0"/>
                  <w:marRight w:val="0"/>
                  <w:marTop w:val="0"/>
                  <w:marBottom w:val="0"/>
                  <w:divBdr>
                    <w:top w:val="single" w:sz="12" w:space="0" w:color="000000"/>
                    <w:left w:val="single" w:sz="12" w:space="0" w:color="000000"/>
                    <w:bottom w:val="single" w:sz="12" w:space="0" w:color="000000"/>
                    <w:right w:val="single" w:sz="12" w:space="0" w:color="000000"/>
                  </w:divBdr>
                </w:div>
                <w:div w:id="771587365">
                  <w:marLeft w:val="0"/>
                  <w:marRight w:val="0"/>
                  <w:marTop w:val="0"/>
                  <w:marBottom w:val="0"/>
                  <w:divBdr>
                    <w:top w:val="none" w:sz="0" w:space="0" w:color="auto"/>
                    <w:left w:val="none" w:sz="0" w:space="0" w:color="auto"/>
                    <w:bottom w:val="none" w:sz="0" w:space="0" w:color="auto"/>
                    <w:right w:val="none" w:sz="0" w:space="0" w:color="auto"/>
                  </w:divBdr>
                </w:div>
              </w:divsChild>
            </w:div>
            <w:div w:id="530069329">
              <w:marLeft w:val="0"/>
              <w:marRight w:val="0"/>
              <w:marTop w:val="0"/>
              <w:marBottom w:val="0"/>
              <w:divBdr>
                <w:top w:val="none" w:sz="0" w:space="0" w:color="auto"/>
                <w:left w:val="none" w:sz="0" w:space="0" w:color="auto"/>
                <w:bottom w:val="none" w:sz="0" w:space="0" w:color="auto"/>
                <w:right w:val="none" w:sz="0" w:space="0" w:color="auto"/>
              </w:divBdr>
            </w:div>
            <w:div w:id="61215884">
              <w:marLeft w:val="0"/>
              <w:marRight w:val="0"/>
              <w:marTop w:val="0"/>
              <w:marBottom w:val="0"/>
              <w:divBdr>
                <w:top w:val="none" w:sz="0" w:space="0" w:color="auto"/>
                <w:left w:val="none" w:sz="0" w:space="0" w:color="auto"/>
                <w:bottom w:val="none" w:sz="0" w:space="0" w:color="auto"/>
                <w:right w:val="none" w:sz="0" w:space="0" w:color="auto"/>
              </w:divBdr>
              <w:divsChild>
                <w:div w:id="20259352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0882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2db07739ad55cd9451d090af97190d78&amp;node=sp40.7.60.ooo&amp;rgn=div6#_top" TargetMode="External"/><Relationship Id="rId13" Type="http://schemas.openxmlformats.org/officeDocument/2006/relationships/hyperlink" Target="http://www.ecfr.gov/cgi-bin/text-idx?SID=2db07739ad55cd9451d090af97190d78&amp;node=sp40.7.60.ooo&amp;rgn=div6" TargetMode="External"/><Relationship Id="rId18" Type="http://schemas.openxmlformats.org/officeDocument/2006/relationships/hyperlink" Target="http://www.ecfr.gov/cgi-bin/text-idx?SID=2db07739ad55cd9451d090af97190d78&amp;node=sp40.7.60.ooo&amp;rgn=div6" TargetMode="External"/><Relationship Id="rId3" Type="http://schemas.openxmlformats.org/officeDocument/2006/relationships/settings" Target="settings.xml"/><Relationship Id="rId21" Type="http://schemas.openxmlformats.org/officeDocument/2006/relationships/hyperlink" Target="http://www.ecfr.gov/cgi-bin/text-idx?SID=2db07739ad55cd9451d090af97190d78&amp;node=sp40.7.60.ooo&amp;rgn=div6" TargetMode="External"/><Relationship Id="rId7" Type="http://schemas.openxmlformats.org/officeDocument/2006/relationships/hyperlink" Target="http://www.ecfr.gov/cgi-bin/text-idx?SID=2db07739ad55cd9451d090af97190d78&amp;node=sp40.7.60.ooo&amp;rgn=div6" TargetMode="External"/><Relationship Id="rId12" Type="http://schemas.openxmlformats.org/officeDocument/2006/relationships/hyperlink" Target="http://www.ecfr.gov/cgi-bin/text-idx?SID=2db07739ad55cd9451d090af97190d78&amp;node=sp40.7.60.ooo&amp;rgn=div6" TargetMode="External"/><Relationship Id="rId17" Type="http://schemas.openxmlformats.org/officeDocument/2006/relationships/hyperlink" Target="http://www.ecfr.gov/cgi-bin/text-idx?SID=2db07739ad55cd9451d090af97190d78&amp;node=sp40.7.60.ooo&amp;rgn=div6"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ecfr.gov/graphics/pdfs/er28ap09.007.pdf" TargetMode="External"/><Relationship Id="rId20" Type="http://schemas.openxmlformats.org/officeDocument/2006/relationships/hyperlink" Target="http://www.ecfr.gov/cgi-bin/text-idx?SID=2db07739ad55cd9451d090af97190d78&amp;node=sp40.7.60.ooo&amp;rgn=div6"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cfr.gov/cgi-bin/text-idx?SID=2db07739ad55cd9451d090af97190d78&amp;node=sp40.7.60.ooo&amp;rgn=div6"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gif"/><Relationship Id="rId23" Type="http://schemas.openxmlformats.org/officeDocument/2006/relationships/footer" Target="footer1.xml"/><Relationship Id="rId10" Type="http://schemas.openxmlformats.org/officeDocument/2006/relationships/hyperlink" Target="http://www.ecfr.gov/cgi-bin/text-idx?SID=2db07739ad55cd9451d090af97190d78&amp;node=sp40.7.60.ooo&amp;rgn=div6" TargetMode="External"/><Relationship Id="rId19" Type="http://schemas.openxmlformats.org/officeDocument/2006/relationships/hyperlink" Target="http://www.ecfr.gov/cgi-bin/text-idx?SID=2db07739ad55cd9451d090af97190d78&amp;node=sp40.7.60.ooo&amp;rgn=div6"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ecfr.gov/cgi-bin/text-idx?SID=2db07739ad55cd9451d090af97190d78&amp;node=sp40.7.60.ooo&amp;rgn=div6"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6561</Words>
  <Characters>37403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DARM</Company>
  <LinksUpToDate>false</LinksUpToDate>
  <CharactersWithSpaces>43877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Holtom_J</dc:creator>
  <cp:lastModifiedBy>Sahand Nasseri</cp:lastModifiedBy>
  <cp:revision>4</cp:revision>
  <cp:lastPrinted>2014-12-09T14:16:00Z</cp:lastPrinted>
  <dcterms:created xsi:type="dcterms:W3CDTF">2014-10-24T14:46:00Z</dcterms:created>
  <dcterms:modified xsi:type="dcterms:W3CDTF">2014-12-09T14:16:00Z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-1085423934</vt:i4>
  </property>
  <property fmtid="{D5CDD505-2E9C-101B-9397-08002B2CF9AE}" pid="3" name="_NewReviewCycle">
    <vt:lpwstr/>
  </property>
  <property fmtid="{D5CDD505-2E9C-101B-9397-08002B2CF9AE}" pid="4" name="_EmailSubject">
    <vt:lpwstr>Updated 40 CFR 63, Subpart ZZZZ</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